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ind w:right="176" w:rightChars="84"/>
        <w:rPr>
          <w:rFonts w:hint="eastAsia" w:ascii="黑体" w:eastAsia="黑体" w:hAnsiTheme="minorHAnsi" w:cstheme="minorBidi"/>
          <w:kern w:val="0"/>
          <w:sz w:val="21"/>
          <w:szCs w:val="20"/>
          <w:lang w:val="en-US" w:eastAsia="zh-CN" w:bidi="ar-SA"/>
        </w:rPr>
      </w:pPr>
      <w:bookmarkStart w:id="0" w:name="SectionMark0"/>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5888" behindDoc="0" locked="1" layoutInCell="1" allowOverlap="1">
                <wp:simplePos x="0" y="0"/>
                <wp:positionH relativeFrom="margin">
                  <wp:posOffset>0</wp:posOffset>
                </wp:positionH>
                <wp:positionV relativeFrom="margin">
                  <wp:posOffset>9079865</wp:posOffset>
                </wp:positionV>
                <wp:extent cx="6120130" cy="363220"/>
                <wp:effectExtent l="0" t="0" r="13970" b="17780"/>
                <wp:wrapNone/>
                <wp:docPr id="11" name="文本框 11"/>
                <wp:cNvGraphicFramePr/>
                <a:graphic xmlns:a="http://schemas.openxmlformats.org/drawingml/2006/main">
                  <a:graphicData uri="http://schemas.microsoft.com/office/word/2010/wordprocessingShape">
                    <wps:wsp>
                      <wps:cNvSpPr txBox="1"/>
                      <wps:spPr>
                        <a:xfrm>
                          <a:off x="0" y="0"/>
                          <a:ext cx="6120130" cy="363220"/>
                        </a:xfrm>
                        <a:prstGeom prst="rect">
                          <a:avLst/>
                        </a:prstGeom>
                        <a:solidFill>
                          <a:srgbClr val="FFFFFF"/>
                        </a:solidFill>
                        <a:ln>
                          <a:noFill/>
                        </a:ln>
                        <a:effectLst/>
                      </wps:spPr>
                      <wps:txbx>
                        <w:txbxContent>
                          <w:p>
                            <w:pPr>
                              <w:pStyle w:val="17"/>
                              <w:bidi w:val="0"/>
                            </w:pPr>
                            <w:r>
                              <w:rPr>
                                <w:rFonts w:hint="eastAsia"/>
                              </w:rPr>
                              <w:t>哈密市市场监督管理局</w:t>
                            </w:r>
                            <w:r>
                              <w:t xml:space="preserve">  </w:t>
                            </w:r>
                            <w:r>
                              <w:rPr>
                                <w:rStyle w:val="18"/>
                                <w:rFonts w:hint="eastAsia"/>
                                <w:b w:val="0"/>
                                <w:bCs/>
                              </w:rPr>
                              <w:t>发布</w:t>
                            </w:r>
                          </w:p>
                          <w:p>
                            <w:pPr>
                              <w:pStyle w:val="17"/>
                              <w:bidi w:val="0"/>
                            </w:pPr>
                          </w:p>
                        </w:txbxContent>
                      </wps:txbx>
                      <wps:bodyPr lIns="0" tIns="0" rIns="0" bIns="0" upright="1"/>
                    </wps:wsp>
                  </a:graphicData>
                </a:graphic>
              </wp:anchor>
            </w:drawing>
          </mc:Choice>
          <mc:Fallback>
            <w:pict>
              <v:shape id="_x0000_s1026" o:spid="_x0000_s1026" o:spt="202" type="#_x0000_t202" style="position:absolute;left:0pt;margin-left:0pt;margin-top:714.95pt;height:28.6pt;width:481.9pt;mso-position-horizontal-relative:margin;mso-position-vertical-relative:margin;z-index:251685888;mso-width-relative:page;mso-height-relative:page;" fillcolor="#FFFFFF" filled="t" stroked="f" coordsize="21600,21600" o:gfxdata="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Dbf28LZAAAACgEAAA8AAAAAAAAAAQAgAAAAIgAAAGRycy9kb3ducmV2LnhtbFBLAQIU&#10;ABQAAAAIAIdO4kBugDKguQEAAF0DAAAOAAAAAAAAAAEAIAAAACgBAABkcnMvZTJvRG9jLnhtbFBL&#10;BQYAAAAABgAGAFkBAABTBQAAAAA=&#10;">
                <v:fill on="t" focussize="0,0"/>
                <v:stroke on="f"/>
                <v:imagedata o:title=""/>
                <o:lock v:ext="edit" aspectratio="f"/>
                <v:textbox inset="0mm,0mm,0mm,0mm">
                  <w:txbxContent>
                    <w:p>
                      <w:pPr>
                        <w:pStyle w:val="17"/>
                        <w:bidi w:val="0"/>
                      </w:pPr>
                      <w:r>
                        <w:rPr>
                          <w:rFonts w:hint="eastAsia"/>
                        </w:rPr>
                        <w:t>哈密市市场监督管理局</w:t>
                      </w:r>
                      <w:r>
                        <w:t xml:space="preserve">  </w:t>
                      </w:r>
                      <w:r>
                        <w:rPr>
                          <w:rStyle w:val="18"/>
                          <w:rFonts w:hint="eastAsia"/>
                          <w:b w:val="0"/>
                          <w:bCs/>
                        </w:rPr>
                        <w:t>发布</w:t>
                      </w:r>
                    </w:p>
                    <w:p>
                      <w:pPr>
                        <w:pStyle w:val="17"/>
                        <w:bidi w:val="0"/>
                      </w:pPr>
                    </w:p>
                  </w:txbxContent>
                </v:textbox>
                <w10:anchorlock/>
              </v:shape>
            </w:pict>
          </mc:Fallback>
        </mc:AlternateContent>
      </w: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4864" behindDoc="0" locked="1" layoutInCell="1" allowOverlap="1">
                <wp:simplePos x="0" y="0"/>
                <wp:positionH relativeFrom="margin">
                  <wp:posOffset>4330065</wp:posOffset>
                </wp:positionH>
                <wp:positionV relativeFrom="margin">
                  <wp:posOffset>8468360</wp:posOffset>
                </wp:positionV>
                <wp:extent cx="1515110" cy="312420"/>
                <wp:effectExtent l="0" t="0" r="8890" b="11430"/>
                <wp:wrapNone/>
                <wp:docPr id="7" name="文本框 7"/>
                <wp:cNvGraphicFramePr/>
                <a:graphic xmlns:a="http://schemas.openxmlformats.org/drawingml/2006/main">
                  <a:graphicData uri="http://schemas.microsoft.com/office/word/2010/wordprocessingShape">
                    <wps:wsp>
                      <wps:cNvSpPr txBox="1"/>
                      <wps:spPr>
                        <a:xfrm>
                          <a:off x="0" y="0"/>
                          <a:ext cx="1515110" cy="312420"/>
                        </a:xfrm>
                        <a:prstGeom prst="rect">
                          <a:avLst/>
                        </a:prstGeom>
                        <a:solidFill>
                          <a:srgbClr val="FFFFFF"/>
                        </a:solidFill>
                        <a:ln>
                          <a:noFill/>
                        </a:ln>
                        <a:effectLst/>
                      </wps:spPr>
                      <wps:txbx>
                        <w:txbxContent>
                          <w:p>
                            <w:pPr>
                              <w:pStyle w:val="19"/>
                            </w:pPr>
                            <w:r>
                              <w:t>20</w:t>
                            </w:r>
                            <w:r>
                              <w:rPr>
                                <w:rFonts w:hint="eastAsia"/>
                              </w:rPr>
                              <w:t>20－</w:t>
                            </w:r>
                            <w:r>
                              <w:rPr>
                                <w:rFonts w:hint="eastAsia"/>
                                <w:lang w:val="en-US" w:eastAsia="zh-CN"/>
                              </w:rPr>
                              <w:t>4</w:t>
                            </w:r>
                            <w:r>
                              <w:rPr>
                                <w:rFonts w:hint="eastAsia"/>
                              </w:rPr>
                              <w:t>－</w:t>
                            </w:r>
                            <w:r>
                              <w:rPr>
                                <w:rFonts w:hint="eastAsia"/>
                                <w:lang w:val="en-US" w:eastAsia="zh-CN"/>
                              </w:rPr>
                              <w:t>2</w:t>
                            </w:r>
                            <w:r>
                              <w:rPr>
                                <w:rFonts w:hint="eastAsia"/>
                              </w:rPr>
                              <w:t>0实施</w:t>
                            </w:r>
                          </w:p>
                        </w:txbxContent>
                      </wps:txbx>
                      <wps:bodyPr lIns="0" tIns="0" rIns="0" bIns="0" upright="1"/>
                    </wps:wsp>
                  </a:graphicData>
                </a:graphic>
              </wp:anchor>
            </w:drawing>
          </mc:Choice>
          <mc:Fallback>
            <w:pict>
              <v:shape id="_x0000_s1026" o:spid="_x0000_s1026" o:spt="202" type="#_x0000_t202" style="position:absolute;left:0pt;margin-left:340.95pt;margin-top:666.8pt;height:24.6pt;width:119.3pt;mso-position-horizontal-relative:margin;mso-position-vertical-relative:margin;z-index:251684864;mso-width-relative:page;mso-height-relative:page;" fillcolor="#FFFFFF" filled="t" stroked="f" coordsize="21600,21600" o:gfxdata="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1A7dc2gAAAA0BAAAPAAAAAAAAAAEAIAAAACIAAABkcnMvZG93bnJldi54bWxQSwECFAAU&#10;AAAACACHTuJAw5hWzbYBAABbAwAADgAAAAAAAAABACAAAAApAQAAZHJzL2Uyb0RvYy54bWxQSwUG&#10;AAAAAAYABgBZAQAAUQUAAAAA&#10;">
                <v:fill on="t" focussize="0,0"/>
                <v:stroke on="f"/>
                <v:imagedata o:title=""/>
                <o:lock v:ext="edit" aspectratio="f"/>
                <v:textbox inset="0mm,0mm,0mm,0mm">
                  <w:txbxContent>
                    <w:p>
                      <w:pPr>
                        <w:pStyle w:val="19"/>
                      </w:pPr>
                      <w:r>
                        <w:t>20</w:t>
                      </w:r>
                      <w:r>
                        <w:rPr>
                          <w:rFonts w:hint="eastAsia"/>
                        </w:rPr>
                        <w:t>20－</w:t>
                      </w:r>
                      <w:r>
                        <w:rPr>
                          <w:rFonts w:hint="eastAsia"/>
                          <w:lang w:val="en-US" w:eastAsia="zh-CN"/>
                        </w:rPr>
                        <w:t>4</w:t>
                      </w:r>
                      <w:r>
                        <w:rPr>
                          <w:rFonts w:hint="eastAsia"/>
                        </w:rPr>
                        <w:t>－</w:t>
                      </w:r>
                      <w:r>
                        <w:rPr>
                          <w:rFonts w:hint="eastAsia"/>
                          <w:lang w:val="en-US" w:eastAsia="zh-CN"/>
                        </w:rPr>
                        <w:t>2</w:t>
                      </w:r>
                      <w:r>
                        <w:rPr>
                          <w:rFonts w:hint="eastAsia"/>
                        </w:rPr>
                        <w:t>0实施</w:t>
                      </w:r>
                    </w:p>
                  </w:txbxContent>
                </v:textbox>
                <w10:anchorlock/>
              </v:shape>
            </w:pict>
          </mc:Fallback>
        </mc:AlternateContent>
      </w: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3840" behindDoc="0" locked="1" layoutInCell="1" allowOverlap="1">
                <wp:simplePos x="0" y="0"/>
                <wp:positionH relativeFrom="margin">
                  <wp:posOffset>28575</wp:posOffset>
                </wp:positionH>
                <wp:positionV relativeFrom="margin">
                  <wp:posOffset>8468360</wp:posOffset>
                </wp:positionV>
                <wp:extent cx="1951355" cy="312420"/>
                <wp:effectExtent l="0" t="0" r="10795" b="11430"/>
                <wp:wrapNone/>
                <wp:docPr id="6" name="文本框 6"/>
                <wp:cNvGraphicFramePr/>
                <a:graphic xmlns:a="http://schemas.openxmlformats.org/drawingml/2006/main">
                  <a:graphicData uri="http://schemas.microsoft.com/office/word/2010/wordprocessingShape">
                    <wps:wsp>
                      <wps:cNvSpPr txBox="1"/>
                      <wps:spPr>
                        <a:xfrm>
                          <a:off x="0" y="0"/>
                          <a:ext cx="1951355" cy="312420"/>
                        </a:xfrm>
                        <a:prstGeom prst="rect">
                          <a:avLst/>
                        </a:prstGeom>
                        <a:solidFill>
                          <a:srgbClr val="FFFFFF"/>
                        </a:solidFill>
                        <a:ln>
                          <a:noFill/>
                        </a:ln>
                        <a:effectLst/>
                      </wps:spPr>
                      <wps:txbx>
                        <w:txbxContent>
                          <w:p>
                            <w:pPr>
                              <w:pStyle w:val="20"/>
                            </w:pPr>
                            <w:r>
                              <w:t>20</w:t>
                            </w:r>
                            <w:r>
                              <w:rPr>
                                <w:rFonts w:hint="eastAsia"/>
                              </w:rPr>
                              <w:t>20－</w:t>
                            </w:r>
                            <w:r>
                              <w:rPr>
                                <w:rFonts w:hint="eastAsia"/>
                                <w:lang w:val="en-US" w:eastAsia="zh-CN"/>
                              </w:rPr>
                              <w:t>3</w:t>
                            </w:r>
                            <w:r>
                              <w:rPr>
                                <w:rFonts w:hint="eastAsia"/>
                              </w:rPr>
                              <w:t>－</w:t>
                            </w:r>
                            <w:r>
                              <w:rPr>
                                <w:rFonts w:hint="eastAsia"/>
                                <w:lang w:val="en-US" w:eastAsia="zh-CN"/>
                              </w:rPr>
                              <w:t>20</w:t>
                            </w:r>
                            <w:r>
                              <w:rPr>
                                <w:rFonts w:hint="eastAsia"/>
                              </w:rPr>
                              <w:t>发布</w:t>
                            </w:r>
                          </w:p>
                          <w:p>
                            <w:pPr>
                              <w:pStyle w:val="20"/>
                            </w:pPr>
                          </w:p>
                        </w:txbxContent>
                      </wps:txbx>
                      <wps:bodyPr lIns="0" tIns="0" rIns="0" bIns="0" upright="1"/>
                    </wps:wsp>
                  </a:graphicData>
                </a:graphic>
              </wp:anchor>
            </w:drawing>
          </mc:Choice>
          <mc:Fallback>
            <w:pict>
              <v:shape id="_x0000_s1026" o:spid="_x0000_s1026" o:spt="202" type="#_x0000_t202" style="position:absolute;left:0pt;margin-left:2.25pt;margin-top:666.8pt;height:24.6pt;width:153.65pt;mso-position-horizontal-relative:margin;mso-position-vertical-relative:margin;z-index:251683840;mso-width-relative:page;mso-height-relative:page;" fillcolor="#FFFFFF" filled="t" stroked="f" coordsize="21600,21600" o:gfxdata="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9g7BPYAAAACwEAAA8AAAAAAAAAAQAgAAAAIgAAAGRycy9kb3ducmV2LnhtbFBLAQIU&#10;ABQAAAAIAIdO4kCYf/OEugEAAFsDAAAOAAAAAAAAAAEAIAAAACcBAABkcnMvZTJvRG9jLnhtbFBL&#10;BQYAAAAABgAGAFkBAABTBQAAAAA=&#10;">
                <v:fill on="t" focussize="0,0"/>
                <v:stroke on="f"/>
                <v:imagedata o:title=""/>
                <o:lock v:ext="edit" aspectratio="f"/>
                <v:textbox inset="0mm,0mm,0mm,0mm">
                  <w:txbxContent>
                    <w:p>
                      <w:pPr>
                        <w:pStyle w:val="20"/>
                      </w:pPr>
                      <w:r>
                        <w:t>20</w:t>
                      </w:r>
                      <w:r>
                        <w:rPr>
                          <w:rFonts w:hint="eastAsia"/>
                        </w:rPr>
                        <w:t>20－</w:t>
                      </w:r>
                      <w:r>
                        <w:rPr>
                          <w:rFonts w:hint="eastAsia"/>
                          <w:lang w:val="en-US" w:eastAsia="zh-CN"/>
                        </w:rPr>
                        <w:t>3</w:t>
                      </w:r>
                      <w:r>
                        <w:rPr>
                          <w:rFonts w:hint="eastAsia"/>
                        </w:rPr>
                        <w:t>－</w:t>
                      </w:r>
                      <w:r>
                        <w:rPr>
                          <w:rFonts w:hint="eastAsia"/>
                          <w:lang w:val="en-US" w:eastAsia="zh-CN"/>
                        </w:rPr>
                        <w:t>20</w:t>
                      </w:r>
                      <w:r>
                        <w:rPr>
                          <w:rFonts w:hint="eastAsia"/>
                        </w:rPr>
                        <w:t>发布</w:t>
                      </w:r>
                    </w:p>
                    <w:p>
                      <w:pPr>
                        <w:pStyle w:val="20"/>
                      </w:pPr>
                    </w:p>
                  </w:txbxContent>
                </v:textbox>
                <w10:anchorlock/>
              </v:shape>
            </w:pict>
          </mc:Fallback>
        </mc:AlternateContent>
      </w: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2816" behindDoc="0" locked="1" layoutInCell="1" allowOverlap="1">
                <wp:simplePos x="0" y="0"/>
                <wp:positionH relativeFrom="margin">
                  <wp:posOffset>0</wp:posOffset>
                </wp:positionH>
                <wp:positionV relativeFrom="margin">
                  <wp:posOffset>3635375</wp:posOffset>
                </wp:positionV>
                <wp:extent cx="5969000" cy="1911985"/>
                <wp:effectExtent l="0" t="0" r="12700" b="12065"/>
                <wp:wrapNone/>
                <wp:docPr id="8" name="文本框 8"/>
                <wp:cNvGraphicFramePr/>
                <a:graphic xmlns:a="http://schemas.openxmlformats.org/drawingml/2006/main">
                  <a:graphicData uri="http://schemas.microsoft.com/office/word/2010/wordprocessingShape">
                    <wps:wsp>
                      <wps:cNvSpPr txBox="1"/>
                      <wps:spPr>
                        <a:xfrm>
                          <a:off x="0" y="0"/>
                          <a:ext cx="5969000" cy="1911985"/>
                        </a:xfrm>
                        <a:prstGeom prst="rect">
                          <a:avLst/>
                        </a:prstGeom>
                        <a:solidFill>
                          <a:srgbClr val="FFFFFF"/>
                        </a:solidFill>
                        <a:ln>
                          <a:noFill/>
                        </a:ln>
                        <a:effectLst/>
                      </wps:spPr>
                      <wps:txbx>
                        <w:txbxContent>
                          <w:p>
                            <w:pPr>
                              <w:pStyle w:val="21"/>
                              <w:rPr>
                                <w:lang w:val="zh-CN"/>
                              </w:rPr>
                            </w:pPr>
                            <w:r>
                              <w:rPr>
                                <w:lang w:val="zh-CN"/>
                              </w:rPr>
                              <w:t xml:space="preserve"> </w:t>
                            </w:r>
                          </w:p>
                          <w:p>
                            <w:pPr>
                              <w:pStyle w:val="21"/>
                              <w:bidi w:val="0"/>
                            </w:pPr>
                            <w:r>
                              <w:rPr>
                                <w:rFonts w:hint="eastAsia"/>
                                <w:lang w:eastAsia="zh-CN"/>
                              </w:rPr>
                              <w:t>地理标志农产品</w:t>
                            </w:r>
                            <w:r>
                              <w:rPr>
                                <w:rFonts w:hint="eastAsia"/>
                                <w:lang w:val="en-US" w:eastAsia="zh-CN"/>
                              </w:rPr>
                              <w:t xml:space="preserve"> 哈密羊肉</w:t>
                            </w:r>
                          </w:p>
                        </w:txbxContent>
                      </wps:txbx>
                      <wps:bodyPr lIns="0" tIns="0" rIns="0" bIns="0" upright="1"/>
                    </wps:wsp>
                  </a:graphicData>
                </a:graphic>
              </wp:anchor>
            </w:drawing>
          </mc:Choice>
          <mc:Fallback>
            <w:pict>
              <v:shape id="_x0000_s1026" o:spid="_x0000_s1026" o:spt="202" type="#_x0000_t202" style="position:absolute;left:0pt;margin-left:0pt;margin-top:286.25pt;height:150.55pt;width:470pt;mso-position-horizontal-relative:margin;mso-position-vertical-relative:margin;z-index:251682816;mso-width-relative:page;mso-height-relative:page;" fillcolor="#FFFFFF" filled="t" stroked="f" coordsize="21600,21600" o:gfxdata="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Iv+132AAAAAgBAAAPAAAAAAAAAAEAIAAAACIAAABkcnMvZG93bnJldi54bWxQSwECFAAU&#10;AAAACACHTuJAxfZuyrgBAABcAwAADgAAAAAAAAABACAAAAAnAQAAZHJzL2Uyb0RvYy54bWxQSwUG&#10;AAAAAAYABgBZAQAAUQUAAAAA&#10;">
                <v:fill on="t" focussize="0,0"/>
                <v:stroke on="f"/>
                <v:imagedata o:title=""/>
                <o:lock v:ext="edit" aspectratio="f"/>
                <v:textbox inset="0mm,0mm,0mm,0mm">
                  <w:txbxContent>
                    <w:p>
                      <w:pPr>
                        <w:pStyle w:val="21"/>
                        <w:rPr>
                          <w:lang w:val="zh-CN"/>
                        </w:rPr>
                      </w:pPr>
                      <w:r>
                        <w:rPr>
                          <w:lang w:val="zh-CN"/>
                        </w:rPr>
                        <w:t xml:space="preserve"> </w:t>
                      </w:r>
                    </w:p>
                    <w:p>
                      <w:pPr>
                        <w:pStyle w:val="21"/>
                        <w:bidi w:val="0"/>
                      </w:pPr>
                      <w:r>
                        <w:rPr>
                          <w:rFonts w:hint="eastAsia"/>
                          <w:lang w:eastAsia="zh-CN"/>
                        </w:rPr>
                        <w:t>地理标志农产品</w:t>
                      </w:r>
                      <w:r>
                        <w:rPr>
                          <w:rFonts w:hint="eastAsia"/>
                          <w:lang w:val="en-US" w:eastAsia="zh-CN"/>
                        </w:rPr>
                        <w:t xml:space="preserve"> 哈密羊肉</w:t>
                      </w:r>
                    </w:p>
                  </w:txbxContent>
                </v:textbox>
                <w10:anchorlock/>
              </v:shape>
            </w:pict>
          </mc:Fallback>
        </mc:AlternateContent>
      </w: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1792" behindDoc="0" locked="1" layoutInCell="1" allowOverlap="1">
                <wp:simplePos x="0" y="0"/>
                <wp:positionH relativeFrom="margin">
                  <wp:posOffset>4057650</wp:posOffset>
                </wp:positionH>
                <wp:positionV relativeFrom="margin">
                  <wp:posOffset>1617345</wp:posOffset>
                </wp:positionV>
                <wp:extent cx="1819275" cy="549275"/>
                <wp:effectExtent l="0" t="0" r="9525" b="3175"/>
                <wp:wrapNone/>
                <wp:docPr id="13" name="文本框 13"/>
                <wp:cNvGraphicFramePr/>
                <a:graphic xmlns:a="http://schemas.openxmlformats.org/drawingml/2006/main">
                  <a:graphicData uri="http://schemas.microsoft.com/office/word/2010/wordprocessingShape">
                    <wps:wsp>
                      <wps:cNvSpPr txBox="1"/>
                      <wps:spPr>
                        <a:xfrm>
                          <a:off x="0" y="0"/>
                          <a:ext cx="1904365" cy="577850"/>
                        </a:xfrm>
                        <a:prstGeom prst="rect">
                          <a:avLst/>
                        </a:prstGeom>
                        <a:solidFill>
                          <a:srgbClr val="FFFFFF"/>
                        </a:solidFill>
                        <a:ln>
                          <a:noFill/>
                        </a:ln>
                        <a:effectLst/>
                      </wps:spPr>
                      <wps:txbx>
                        <w:txbxContent>
                          <w:p>
                            <w:pPr>
                              <w:pStyle w:val="22"/>
                              <w:bidi w:val="0"/>
                            </w:pPr>
                            <w:r>
                              <w:t>DB65</w:t>
                            </w:r>
                            <w:r>
                              <w:rPr>
                                <w:rFonts w:hint="eastAsia"/>
                              </w:rPr>
                              <w:t>05</w:t>
                            </w:r>
                            <w:r>
                              <w:t>/T</w:t>
                            </w:r>
                            <w:r>
                              <w:rPr>
                                <w:rFonts w:hint="eastAsia"/>
                              </w:rPr>
                              <w:t xml:space="preserve"> </w:t>
                            </w:r>
                            <w:r>
                              <w:t>0</w:t>
                            </w:r>
                            <w:r>
                              <w:rPr>
                                <w:rFonts w:hint="eastAsia"/>
                                <w:lang w:val="en-US" w:eastAsia="zh-CN"/>
                              </w:rPr>
                              <w:t>99</w:t>
                            </w:r>
                            <w:r>
                              <w:rPr>
                                <w:rFonts w:hint="eastAsia"/>
                              </w:rPr>
                              <w:t>－</w:t>
                            </w:r>
                            <w:r>
                              <w:t>20</w:t>
                            </w:r>
                            <w:r>
                              <w:rPr>
                                <w:rFonts w:hint="eastAsia"/>
                              </w:rPr>
                              <w:t>2</w:t>
                            </w:r>
                            <w:r>
                              <w:rPr>
                                <w:rFonts w:hint="eastAsia"/>
                                <w:lang w:val="en-US" w:eastAsia="zh-CN"/>
                              </w:rPr>
                              <w:t>1</w:t>
                            </w:r>
                            <w:r>
                              <w:t xml:space="preserve"> </w:t>
                            </w:r>
                          </w:p>
                        </w:txbxContent>
                      </wps:txbx>
                      <wps:bodyPr lIns="0" tIns="0" rIns="0" bIns="0" upright="1"/>
                    </wps:wsp>
                  </a:graphicData>
                </a:graphic>
              </wp:anchor>
            </w:drawing>
          </mc:Choice>
          <mc:Fallback>
            <w:pict>
              <v:shape id="_x0000_s1026" o:spid="_x0000_s1026" o:spt="202" type="#_x0000_t202" style="position:absolute;left:0pt;margin-left:319.5pt;margin-top:127.35pt;height:43.25pt;width:143.25pt;mso-position-horizontal-relative:margin;mso-position-vertical-relative:margin;z-index:251681792;mso-width-relative:page;mso-height-relative:page;" fillcolor="#FFFFFF" filled="t" stroked="f" coordsize="21600,21600" o:gfxdata="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dxKPE2wAAAAsBAAAPAAAAAAAAAAEAIAAAACIAAABkcnMvZG93bnJldi54bWxQ&#10;SwECFAAUAAAACACHTuJAUSzhl7sBAABdAwAADgAAAAAAAAABACAAAAAqAQAAZHJzL2Uyb0RvYy54&#10;bWxQSwUGAAAAAAYABgBZAQAAVwUAAAAA&#10;">
                <v:fill on="t" focussize="0,0"/>
                <v:stroke on="f"/>
                <v:imagedata o:title=""/>
                <o:lock v:ext="edit" aspectratio="f"/>
                <v:textbox inset="0mm,0mm,0mm,0mm">
                  <w:txbxContent>
                    <w:p>
                      <w:pPr>
                        <w:pStyle w:val="22"/>
                        <w:bidi w:val="0"/>
                      </w:pPr>
                      <w:r>
                        <w:t>DB65</w:t>
                      </w:r>
                      <w:r>
                        <w:rPr>
                          <w:rFonts w:hint="eastAsia"/>
                        </w:rPr>
                        <w:t>05</w:t>
                      </w:r>
                      <w:r>
                        <w:t>/T</w:t>
                      </w:r>
                      <w:r>
                        <w:rPr>
                          <w:rFonts w:hint="eastAsia"/>
                        </w:rPr>
                        <w:t xml:space="preserve"> </w:t>
                      </w:r>
                      <w:r>
                        <w:t>0</w:t>
                      </w:r>
                      <w:r>
                        <w:rPr>
                          <w:rFonts w:hint="eastAsia"/>
                          <w:lang w:val="en-US" w:eastAsia="zh-CN"/>
                        </w:rPr>
                        <w:t>99</w:t>
                      </w:r>
                      <w:r>
                        <w:rPr>
                          <w:rFonts w:hint="eastAsia"/>
                        </w:rPr>
                        <w:t>－</w:t>
                      </w:r>
                      <w:r>
                        <w:t>20</w:t>
                      </w:r>
                      <w:r>
                        <w:rPr>
                          <w:rFonts w:hint="eastAsia"/>
                        </w:rPr>
                        <w:t>2</w:t>
                      </w:r>
                      <w:r>
                        <w:rPr>
                          <w:rFonts w:hint="eastAsia"/>
                          <w:lang w:val="en-US" w:eastAsia="zh-CN"/>
                        </w:rPr>
                        <w:t>1</w:t>
                      </w:r>
                      <w:r>
                        <w:t xml:space="preserve"> </w:t>
                      </w:r>
                    </w:p>
                  </w:txbxContent>
                </v:textbox>
                <w10:anchorlock/>
              </v:shape>
            </w:pict>
          </mc:Fallback>
        </mc:AlternateContent>
      </w: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0768" behindDoc="0" locked="1" layoutInCell="1" allowOverlap="1">
                <wp:simplePos x="0" y="0"/>
                <wp:positionH relativeFrom="margin">
                  <wp:posOffset>2447290</wp:posOffset>
                </wp:positionH>
                <wp:positionV relativeFrom="margin">
                  <wp:posOffset>0</wp:posOffset>
                </wp:positionV>
                <wp:extent cx="3531235" cy="720090"/>
                <wp:effectExtent l="0" t="0" r="12065" b="3810"/>
                <wp:wrapNone/>
                <wp:docPr id="12" name="文本框 12"/>
                <wp:cNvGraphicFramePr/>
                <a:graphic xmlns:a="http://schemas.openxmlformats.org/drawingml/2006/main">
                  <a:graphicData uri="http://schemas.microsoft.com/office/word/2010/wordprocessingShape">
                    <wps:wsp>
                      <wps:cNvSpPr txBox="1"/>
                      <wps:spPr>
                        <a:xfrm>
                          <a:off x="0" y="0"/>
                          <a:ext cx="3600450" cy="720090"/>
                        </a:xfrm>
                        <a:prstGeom prst="rect">
                          <a:avLst/>
                        </a:prstGeom>
                        <a:solidFill>
                          <a:srgbClr val="FFFFFF"/>
                        </a:solidFill>
                        <a:ln>
                          <a:noFill/>
                        </a:ln>
                        <a:effectLst/>
                      </wps:spPr>
                      <wps:txbx>
                        <w:txbxContent>
                          <w:p>
                            <w:pPr>
                              <w:pStyle w:val="23"/>
                              <w:bidi w:val="0"/>
                            </w:pPr>
                            <w:r>
                              <w:t>DB65</w:t>
                            </w:r>
                            <w:r>
                              <w:rPr>
                                <w:rFonts w:hint="eastAsia"/>
                              </w:rPr>
                              <w:t>0</w:t>
                            </w:r>
                            <w:r>
                              <w:t>5</w:t>
                            </w:r>
                            <w:r>
                              <w:rPr>
                                <w:rFonts w:hint="eastAsia"/>
                              </w:rPr>
                              <w:t>5</w:t>
                            </w:r>
                          </w:p>
                        </w:txbxContent>
                      </wps:txbx>
                      <wps:bodyPr lIns="0" tIns="0" rIns="0" bIns="0" upright="1"/>
                    </wps:wsp>
                  </a:graphicData>
                </a:graphic>
              </wp:anchor>
            </w:drawing>
          </mc:Choice>
          <mc:Fallback>
            <w:pict>
              <v:shape id="_x0000_s1026" o:spid="_x0000_s1026" o:spt="202" type="#_x0000_t202" style="position:absolute;left:0pt;margin-left:192.7pt;margin-top:0pt;height:56.7pt;width:278.05pt;mso-position-horizontal-relative:margin;mso-position-vertical-relative:margin;z-index:251680768;mso-width-relative:page;mso-height-relative:page;" fillcolor="#FFFFFF" filled="t" stroked="f" coordsize="21600,21600" o:gfxdata="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4adlvYAAAACAEAAA8AAAAAAAAAAQAgAAAAIgAAAGRycy9kb3ducmV2LnhtbFBLAQIU&#10;ABQAAAAIAIdO4kB518p4ugEAAF0DAAAOAAAAAAAAAAEAIAAAACcBAABkcnMvZTJvRG9jLnhtbFBL&#10;BQYAAAAABgAGAFkBAABTBQAAAAA=&#10;">
                <v:fill on="t" focussize="0,0"/>
                <v:stroke on="f"/>
                <v:imagedata o:title=""/>
                <o:lock v:ext="edit" aspectratio="f"/>
                <v:textbox inset="0mm,0mm,0mm,0mm">
                  <w:txbxContent>
                    <w:p>
                      <w:pPr>
                        <w:pStyle w:val="23"/>
                        <w:bidi w:val="0"/>
                      </w:pPr>
                      <w:r>
                        <w:t>DB65</w:t>
                      </w:r>
                      <w:r>
                        <w:rPr>
                          <w:rFonts w:hint="eastAsia"/>
                        </w:rPr>
                        <w:t>0</w:t>
                      </w:r>
                      <w:r>
                        <w:t>5</w:t>
                      </w:r>
                      <w:r>
                        <w:rPr>
                          <w:rFonts w:hint="eastAsia"/>
                        </w:rPr>
                        <w:t>5</w:t>
                      </w:r>
                    </w:p>
                  </w:txbxContent>
                </v:textbox>
                <w10:anchorlock/>
              </v:shape>
            </w:pict>
          </mc:Fallback>
        </mc:AlternateContent>
      </w: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79744" behindDoc="0" locked="1" layoutInCell="1" allowOverlap="1">
                <wp:simplePos x="0" y="0"/>
                <wp:positionH relativeFrom="margin">
                  <wp:posOffset>0</wp:posOffset>
                </wp:positionH>
                <wp:positionV relativeFrom="margin">
                  <wp:posOffset>1010920</wp:posOffset>
                </wp:positionV>
                <wp:extent cx="5941060" cy="574040"/>
                <wp:effectExtent l="0" t="0" r="2540" b="16510"/>
                <wp:wrapNone/>
                <wp:docPr id="14" name="文本框 14"/>
                <wp:cNvGraphicFramePr/>
                <a:graphic xmlns:a="http://schemas.openxmlformats.org/drawingml/2006/main">
                  <a:graphicData uri="http://schemas.microsoft.com/office/word/2010/wordprocessingShape">
                    <wps:wsp>
                      <wps:cNvSpPr txBox="1"/>
                      <wps:spPr>
                        <a:xfrm>
                          <a:off x="0" y="0"/>
                          <a:ext cx="5902325" cy="574040"/>
                        </a:xfrm>
                        <a:prstGeom prst="rect">
                          <a:avLst/>
                        </a:prstGeom>
                        <a:solidFill>
                          <a:srgbClr val="FFFFFF"/>
                        </a:solidFill>
                        <a:ln>
                          <a:noFill/>
                        </a:ln>
                        <a:effectLst/>
                      </wps:spPr>
                      <wps:txbx>
                        <w:txbxContent>
                          <w:p>
                            <w:pPr>
                              <w:pStyle w:val="21"/>
                              <w:bidi w:val="0"/>
                              <w:jc w:val="distribute"/>
                            </w:pPr>
                            <w:r>
                              <w:rPr>
                                <w:rFonts w:hint="eastAsia"/>
                              </w:rPr>
                              <w:t>哈密市地方标准</w:t>
                            </w:r>
                          </w:p>
                          <w:p>
                            <w:pPr>
                              <w:pStyle w:val="21"/>
                              <w:bidi w:val="0"/>
                              <w:jc w:val="distribute"/>
                            </w:pPr>
                          </w:p>
                        </w:txbxContent>
                      </wps:txbx>
                      <wps:bodyPr lIns="0" tIns="0" rIns="0" bIns="0" upright="1"/>
                    </wps:wsp>
                  </a:graphicData>
                </a:graphic>
              </wp:anchor>
            </w:drawing>
          </mc:Choice>
          <mc:Fallback>
            <w:pict>
              <v:shape id="_x0000_s1026" o:spid="_x0000_s1026" o:spt="202" type="#_x0000_t202" style="position:absolute;left:0pt;margin-left:0pt;margin-top:79.6pt;height:45.2pt;width:467.8pt;mso-position-horizontal-relative:margin;mso-position-vertical-relative:margin;z-index:251679744;mso-width-relative:page;mso-height-relative:page;" fillcolor="#FFFFFF" filled="t" stroked="f" coordsize="21600,21600" o:gfxdata="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1qSrL2AAAAAgBAAAPAAAAAAAAAAEAIAAAACIAAABkcnMvZG93bnJldi54bWxQSwEC&#10;FAAUAAAACACHTuJAneL+W7sBAABdAwAADgAAAAAAAAABACAAAAAnAQAAZHJzL2Uyb0RvYy54bWxQ&#10;SwUGAAAAAAYABgBZAQAAVAUAAAAA&#10;">
                <v:fill on="t" focussize="0,0"/>
                <v:stroke on="f"/>
                <v:imagedata o:title=""/>
                <o:lock v:ext="edit" aspectratio="f"/>
                <v:textbox inset="0mm,0mm,0mm,0mm">
                  <w:txbxContent>
                    <w:p>
                      <w:pPr>
                        <w:pStyle w:val="21"/>
                        <w:bidi w:val="0"/>
                        <w:jc w:val="distribute"/>
                      </w:pPr>
                      <w:r>
                        <w:rPr>
                          <w:rFonts w:hint="eastAsia"/>
                        </w:rPr>
                        <w:t>哈密市地方标准</w:t>
                      </w:r>
                    </w:p>
                    <w:p>
                      <w:pPr>
                        <w:pStyle w:val="21"/>
                        <w:bidi w:val="0"/>
                        <w:jc w:val="distribute"/>
                      </w:pPr>
                    </w:p>
                  </w:txbxContent>
                </v:textbox>
                <w10:anchorlock/>
              </v:shape>
            </w:pict>
          </mc:Fallback>
        </mc:AlternateContent>
      </w:r>
      <w:r>
        <w:rPr>
          <w:rFonts w:hint="eastAsia" w:ascii="黑体" w:eastAsia="黑体" w:hAnsiTheme="minorHAnsi" w:cstheme="minorBidi"/>
          <w:kern w:val="0"/>
          <w:sz w:val="21"/>
          <w:szCs w:val="20"/>
          <w:lang w:val="en-US" w:eastAsia="zh-CN" w:bidi="ar-SA"/>
        </w:rPr>
        <w:t>ICS  65.020.30</w:t>
      </w:r>
    </w:p>
    <w:p>
      <w:pPr>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B 44</w:t>
      </w:r>
    </w:p>
    <w:bookmarkEnd w:id="0"/>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6912" behindDoc="0" locked="0" layoutInCell="1" allowOverlap="1">
                <wp:simplePos x="0" y="0"/>
                <wp:positionH relativeFrom="column">
                  <wp:posOffset>-9525</wp:posOffset>
                </wp:positionH>
                <wp:positionV relativeFrom="paragraph">
                  <wp:posOffset>93980</wp:posOffset>
                </wp:positionV>
                <wp:extent cx="5980430" cy="0"/>
                <wp:effectExtent l="0" t="0" r="0" b="0"/>
                <wp:wrapNone/>
                <wp:docPr id="9" name="直接连接符 9"/>
                <wp:cNvGraphicFramePr/>
                <a:graphic xmlns:a="http://schemas.openxmlformats.org/drawingml/2006/main">
                  <a:graphicData uri="http://schemas.microsoft.com/office/word/2010/wordprocessingShape">
                    <wps:wsp>
                      <wps:cNvCnPr/>
                      <wps:spPr>
                        <a:xfrm>
                          <a:off x="0" y="0"/>
                          <a:ext cx="5980430" cy="0"/>
                        </a:xfrm>
                        <a:prstGeom prst="line">
                          <a:avLst/>
                        </a:prstGeom>
                        <a:ln w="12700" cap="flat" cmpd="sng">
                          <a:solidFill>
                            <a:srgbClr val="800008"/>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75pt;margin-top:7.4pt;height:0pt;width:470.9pt;z-index:251686912;mso-width-relative:page;mso-height-relative:page;" filled="f" stroked="t" coordsize="21600,21600" o:gfxdata="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lH0mdQAAAAIAQAADwAA&#10;AAAAAAABACAAAAAiAAAAZHJzL2Rvd25yZXYueG1sUEsBAhQAFAAAAAgAh07iQGDukbbhAQAApQMA&#10;AA4AAAAAAAAAAQAgAAAAIwEAAGRycy9lMm9Eb2MueG1sUEsFBgAAAAAGAAYAWQEAAHYFAAAAAA==&#10;">
                <v:fill on="f" focussize="0,0"/>
                <v:stroke weight="1pt" color="#800008" joinstyle="round"/>
                <v:imagedata o:title=""/>
                <o:lock v:ext="edit" aspectratio="f"/>
              </v:line>
            </w:pict>
          </mc:Fallback>
        </mc:AlternateContent>
      </w: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p>
    <w:p>
      <w:pPr>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8960" behindDoc="0" locked="0" layoutInCell="1" allowOverlap="1">
                <wp:simplePos x="0" y="0"/>
                <wp:positionH relativeFrom="column">
                  <wp:posOffset>1108710</wp:posOffset>
                </wp:positionH>
                <wp:positionV relativeFrom="paragraph">
                  <wp:posOffset>172720</wp:posOffset>
                </wp:positionV>
                <wp:extent cx="790575" cy="466090"/>
                <wp:effectExtent l="0" t="0" r="0" b="0"/>
                <wp:wrapNone/>
                <wp:docPr id="5" name="文本框 5"/>
                <wp:cNvGraphicFramePr/>
                <a:graphic xmlns:a="http://schemas.openxmlformats.org/drawingml/2006/main">
                  <a:graphicData uri="http://schemas.microsoft.com/office/word/2010/wordprocessingShape">
                    <wps:wsp>
                      <wps:cNvSpPr txBox="1"/>
                      <wps:spPr>
                        <a:xfrm>
                          <a:off x="2199640" y="9006205"/>
                          <a:ext cx="790575" cy="466090"/>
                        </a:xfrm>
                        <a:prstGeom prst="rect">
                          <a:avLst/>
                        </a:prstGeom>
                        <a:noFill/>
                        <a:ln w="6350">
                          <a:noFill/>
                        </a:ln>
                        <a:effectLst/>
                      </wps:spPr>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3pt;margin-top:13.6pt;height:36.7pt;width:62.25pt;z-index:251688960;mso-width-relative:page;mso-height-relative:page;" filled="f" stroked="f" coordsize="21600,21600" o:gfxdata="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V66m7ZAAAACgEAAA8AAAAAAAAAAQAgAAAAIgAAAGRycy9kb3ducmV2Lnht&#10;bFBLAQIUABQAAAAIAIdO4kB69Lm/MQIAADEEAAAOAAAAAAAAAAEAIAAAACgBAABkcnMvZTJvRG9j&#10;LnhtbFBLBQYAAAAABgAGAFkBAADLBQAAAAA=&#10;">
                <v:fill on="f" focussize="0,0"/>
                <v:stroke on="f" weight="0.5pt"/>
                <v:imagedata o:title=""/>
                <o:lock v:ext="edit" aspectratio="f"/>
                <v:textbox>
                  <w:txbxContent>
                    <w:p/>
                  </w:txbxContent>
                </v:textbox>
              </v:shape>
            </w:pict>
          </mc:Fallback>
        </mc:AlternateContent>
      </w:r>
    </w:p>
    <w:p>
      <w:pPr>
        <w:tabs>
          <w:tab w:val="left" w:pos="2046"/>
        </w:tabs>
        <w:jc w:val="left"/>
        <w:rPr>
          <w:rFonts w:hint="eastAsia" w:ascii="黑体" w:eastAsia="黑体" w:hAnsiTheme="minorHAnsi" w:cstheme="minorBidi"/>
          <w:kern w:val="0"/>
          <w:sz w:val="21"/>
          <w:szCs w:val="20"/>
          <w:lang w:val="en-US" w:eastAsia="zh-CN" w:bidi="ar-SA"/>
        </w:rPr>
        <w:sectPr>
          <w:headerReference r:id="rId5" w:type="first"/>
          <w:headerReference r:id="rId3" w:type="default"/>
          <w:footerReference r:id="rId6" w:type="default"/>
          <w:headerReference r:id="rId4" w:type="even"/>
          <w:footerReference r:id="rId7" w:type="even"/>
          <w:pgSz w:w="11907" w:h="16839"/>
          <w:pgMar w:top="567" w:right="1029" w:bottom="1361" w:left="1418" w:header="0" w:footer="0" w:gutter="0"/>
          <w:pgNumType w:fmt="decimal" w:start="1"/>
          <w:cols w:space="720" w:num="1"/>
          <w:titlePg/>
          <w:docGrid w:type="lines" w:linePitch="312" w:charSpace="0"/>
        </w:sectPr>
      </w:pP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87936" behindDoc="0" locked="0" layoutInCell="1" allowOverlap="1">
                <wp:simplePos x="0" y="0"/>
                <wp:positionH relativeFrom="column">
                  <wp:posOffset>0</wp:posOffset>
                </wp:positionH>
                <wp:positionV relativeFrom="paragraph">
                  <wp:posOffset>332740</wp:posOffset>
                </wp:positionV>
                <wp:extent cx="5959475" cy="635"/>
                <wp:effectExtent l="0" t="0" r="0" b="0"/>
                <wp:wrapNone/>
                <wp:docPr id="10" name="直接连接符 10"/>
                <wp:cNvGraphicFramePr/>
                <a:graphic xmlns:a="http://schemas.openxmlformats.org/drawingml/2006/main">
                  <a:graphicData uri="http://schemas.microsoft.com/office/word/2010/wordprocessingShape">
                    <wps:wsp>
                      <wps:cNvCnPr/>
                      <wps:spPr>
                        <a:xfrm>
                          <a:off x="0" y="0"/>
                          <a:ext cx="6121400" cy="0"/>
                        </a:xfrm>
                        <a:prstGeom prst="line">
                          <a:avLst/>
                        </a:prstGeom>
                        <a:ln w="190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6.2pt;height:0.05pt;width:469.25pt;z-index:251687936;mso-width-relative:page;mso-height-relative:page;" filled="f" stroked="t" coordsize="21600,21600" o:gfxdata="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nYGmjUAAAABgEAAA8AAAAA&#10;AAAAAQAgAAAAIgAAAGRycy9kb3ducmV2LnhtbFBLAQIUABQAAAAIAIdO4kCf6Tws3wEAAKcDAAAO&#10;AAAAAAAAAAEAIAAAACMBAABkcnMvZTJvRG9jLnhtbFBLBQYAAAAABgAGAFkBAAB0BQAAAAA=&#10;">
                <v:fill on="f" focussize="0,0"/>
                <v:stroke weight="1.5pt" color="#000000" joinstyle="round"/>
                <v:imagedata o:title=""/>
                <o:lock v:ext="edit" aspectratio="f"/>
              </v:line>
            </w:pict>
          </mc:Fallback>
        </mc:AlternateContent>
      </w:r>
      <w:r>
        <w:rPr>
          <w:rFonts w:hint="eastAsia" w:ascii="黑体" w:eastAsia="黑体" w:hAnsiTheme="minorHAnsi" w:cstheme="minorBidi"/>
          <w:kern w:val="0"/>
          <w:sz w:val="21"/>
          <w:szCs w:val="20"/>
          <w:lang w:val="en-US" w:eastAsia="zh-CN" w:bidi="ar-SA"/>
        </w:rPr>
        <w:tab/>
      </w:r>
    </w:p>
    <w:p>
      <w:pPr>
        <w:pStyle w:val="7"/>
        <w:bidi w:val="0"/>
        <w:rPr>
          <w:rFonts w:hint="eastAsia"/>
          <w:lang w:val="en-US" w:eastAsia="zh-CN"/>
        </w:rPr>
      </w:pPr>
      <w:r>
        <w:rPr>
          <w:rFonts w:hint="eastAsia"/>
          <w:lang w:val="en-US" w:eastAsia="zh-CN"/>
        </w:rPr>
        <w:t>前</w:t>
      </w:r>
      <w:bookmarkStart w:id="1" w:name="BKQY"/>
      <w:r>
        <w:rPr>
          <w:rFonts w:hint="eastAsia"/>
          <w:lang w:val="en-US" w:eastAsia="zh-CN"/>
        </w:rPr>
        <w:t>  言</w:t>
      </w:r>
      <w:bookmarkEnd w:id="1"/>
    </w:p>
    <w:p>
      <w:pPr>
        <w:pStyle w:val="8"/>
        <w:bidi w:val="0"/>
        <w:rPr>
          <w:rFonts w:hint="eastAsia"/>
          <w:lang w:val="en-US" w:eastAsia="zh-CN"/>
        </w:rPr>
      </w:pPr>
      <w:r>
        <w:rPr>
          <w:rFonts w:hint="eastAsia"/>
          <w:lang w:val="en-US" w:eastAsia="zh-CN"/>
        </w:rPr>
        <w:t>本标准依据GB/T 1.1-2020《标准化工作导则_第1部分：标准的结构和编写》、《地理标志产品标准通用要求》（GB/T 17924）、《地理标志产品管理规定》起草。</w:t>
      </w:r>
    </w:p>
    <w:p>
      <w:pPr>
        <w:pStyle w:val="8"/>
        <w:bidi w:val="0"/>
        <w:rPr>
          <w:rFonts w:hint="eastAsia"/>
          <w:lang w:val="en-US" w:eastAsia="zh-CN"/>
        </w:rPr>
      </w:pPr>
      <w:r>
        <w:rPr>
          <w:rFonts w:hint="eastAsia"/>
          <w:lang w:val="en-US" w:eastAsia="zh-CN"/>
        </w:rPr>
        <w:t>本标准由哈密市畜牧工作站提出。</w:t>
      </w:r>
    </w:p>
    <w:p>
      <w:pPr>
        <w:pStyle w:val="8"/>
        <w:bidi w:val="0"/>
        <w:rPr>
          <w:rFonts w:hint="eastAsia"/>
          <w:lang w:val="en-US" w:eastAsia="zh-CN"/>
        </w:rPr>
      </w:pPr>
      <w:r>
        <w:rPr>
          <w:rFonts w:hint="eastAsia"/>
          <w:lang w:val="en-US" w:eastAsia="zh-CN"/>
        </w:rPr>
        <w:t>本标准由哈密市农业农村局归口。</w:t>
      </w:r>
    </w:p>
    <w:p>
      <w:pPr>
        <w:pStyle w:val="8"/>
        <w:bidi w:val="0"/>
        <w:rPr>
          <w:rFonts w:hint="eastAsia"/>
          <w:lang w:val="en-US" w:eastAsia="zh-CN"/>
        </w:rPr>
      </w:pPr>
      <w:r>
        <w:rPr>
          <w:rFonts w:hint="eastAsia"/>
          <w:lang w:val="en-US" w:eastAsia="zh-CN"/>
        </w:rPr>
        <w:t>本标准主要起草单位：哈密市畜牧工作站</w:t>
      </w:r>
    </w:p>
    <w:p>
      <w:pPr>
        <w:pStyle w:val="8"/>
        <w:bidi w:val="0"/>
        <w:rPr>
          <w:rFonts w:hint="eastAsia"/>
          <w:lang w:val="en-US" w:eastAsia="zh-CN"/>
        </w:rPr>
      </w:pPr>
      <w:r>
        <w:rPr>
          <w:rFonts w:hint="eastAsia"/>
          <w:lang w:val="en-US" w:eastAsia="zh-CN"/>
        </w:rPr>
        <w:t>本标准主要起草人：达成菁、黄浩、宁忠山、周斐然、潘伊微、蔡树东。</w:t>
      </w:r>
    </w:p>
    <w:p>
      <w:pPr>
        <w:pStyle w:val="9"/>
        <w:bidi w:val="0"/>
        <w:rPr>
          <w:rFonts w:hint="eastAsia"/>
          <w:lang w:val="en-US" w:eastAsia="zh-CN"/>
        </w:rPr>
      </w:pPr>
      <w:r>
        <w:rPr>
          <w:rFonts w:hint="eastAsia"/>
          <w:lang w:val="en-US" w:eastAsia="zh-CN"/>
        </w:rPr>
        <w:t>地理标志农产品 哈</w:t>
      </w:r>
      <w:bookmarkStart w:id="2" w:name="StandardName"/>
      <w:r>
        <w:rPr>
          <w:rFonts w:hint="eastAsia"/>
          <w:lang w:val="en-US" w:eastAsia="zh-CN"/>
        </w:rPr>
        <w:t>密羊肉</w:t>
      </w:r>
      <w:bookmarkEnd w:id="2"/>
      <w:r>
        <w:rPr>
          <w:rFonts w:hint="eastAsia"/>
          <w:lang w:val="en-US" w:eastAsia="zh-CN"/>
        </w:rPr>
        <w:t xml:space="preserve"> </w:t>
      </w:r>
    </w:p>
    <w:p>
      <w:pPr>
        <w:pStyle w:val="10"/>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范围</w:t>
      </w:r>
    </w:p>
    <w:p>
      <w:pPr>
        <w:pStyle w:val="8"/>
        <w:bidi w:val="0"/>
        <w:rPr>
          <w:rFonts w:hint="eastAsia"/>
          <w:lang w:val="en-US" w:eastAsia="zh-CN"/>
        </w:rPr>
      </w:pPr>
      <w:r>
        <w:rPr>
          <w:rFonts w:hint="eastAsia"/>
          <w:lang w:val="en-US" w:eastAsia="zh-CN"/>
        </w:rPr>
        <w:t>本标准规定了地理标志农产品 哈密羊肉的保护范围、术语和定义、技术要求、质量要求、检验方法、检验规则、标志、标签、包装、运输及贮存。</w:t>
      </w:r>
    </w:p>
    <w:p>
      <w:pPr>
        <w:pStyle w:val="8"/>
        <w:bidi w:val="0"/>
        <w:rPr>
          <w:rFonts w:hint="eastAsia"/>
          <w:lang w:val="en-US" w:eastAsia="zh-CN"/>
        </w:rPr>
      </w:pPr>
      <w:r>
        <w:rPr>
          <w:rFonts w:hint="eastAsia"/>
          <w:lang w:val="en-US" w:eastAsia="zh-CN"/>
        </w:rPr>
        <w:t>本标准适用于农业农村部第126号公告批准保护的哈密羊肉。</w:t>
      </w:r>
    </w:p>
    <w:p>
      <w:pPr>
        <w:pStyle w:val="10"/>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规范性引用文件</w:t>
      </w:r>
      <w:bookmarkStart w:id="3" w:name="_GoBack"/>
      <w:bookmarkEnd w:id="3"/>
    </w:p>
    <w:p>
      <w:pPr>
        <w:pStyle w:val="8"/>
        <w:bidi w:val="0"/>
        <w:rPr>
          <w:rFonts w:hint="eastAsia"/>
          <w:lang w:val="en-US" w:eastAsia="zh-CN"/>
        </w:rPr>
      </w:pPr>
      <w:r>
        <w:rPr>
          <w:rFonts w:hint="eastAsia"/>
          <w:lang w:val="en-US" w:eastAsia="zh-CN"/>
        </w:rPr>
        <w:t>下列文件对于本标准的应用是必不可少的。凡是注日期的引用文件，仅所注日期的版本适用于本标准。凡是不注日期的引用文件，其最新版本（包括所有的修改单）适用于本标准。</w:t>
      </w:r>
    </w:p>
    <w:p>
      <w:pPr>
        <w:pStyle w:val="8"/>
        <w:bidi w:val="0"/>
        <w:rPr>
          <w:rFonts w:hint="eastAsia"/>
          <w:lang w:val="en-US" w:eastAsia="zh-CN"/>
        </w:rPr>
      </w:pPr>
      <w:r>
        <w:rPr>
          <w:rFonts w:hint="eastAsia"/>
          <w:lang w:val="en-US" w:eastAsia="zh-CN"/>
        </w:rPr>
        <w:t xml:space="preserve">GB 2762         </w:t>
      </w:r>
      <w:r>
        <w:rPr>
          <w:rFonts w:hint="eastAsia"/>
          <w:lang w:val="en-US" w:eastAsia="zh-CN"/>
        </w:rPr>
        <w:fldChar w:fldCharType="begin"/>
      </w:r>
      <w:r>
        <w:rPr>
          <w:rFonts w:hint="eastAsia"/>
          <w:lang w:val="en-US" w:eastAsia="zh-CN"/>
        </w:rPr>
        <w:instrText xml:space="preserve"> HYPERLINK "http://down.foodmate.net/standard/sort/3/50748.html" \o "GB 2762-2017 食品安全国家标准 食品中污染物限量" \t "http://down.foodmate.net/standard/_blank" </w:instrText>
      </w:r>
      <w:r>
        <w:rPr>
          <w:rFonts w:hint="eastAsia"/>
          <w:lang w:val="en-US" w:eastAsia="zh-CN"/>
        </w:rPr>
        <w:fldChar w:fldCharType="separate"/>
      </w:r>
      <w:r>
        <w:rPr>
          <w:rFonts w:hint="eastAsia"/>
          <w:lang w:val="en-US" w:eastAsia="zh-CN"/>
        </w:rPr>
        <w:t>食品安全国家标准 食品中污染物限量</w:t>
      </w:r>
      <w:r>
        <w:rPr>
          <w:rFonts w:hint="eastAsia"/>
          <w:lang w:val="en-US" w:eastAsia="zh-CN"/>
        </w:rPr>
        <w:fldChar w:fldCharType="end"/>
      </w:r>
    </w:p>
    <w:p>
      <w:pPr>
        <w:pStyle w:val="8"/>
        <w:bidi w:val="0"/>
        <w:rPr>
          <w:rFonts w:hint="eastAsia"/>
          <w:lang w:val="en-US" w:eastAsia="zh-CN"/>
        </w:rPr>
      </w:pPr>
      <w:r>
        <w:rPr>
          <w:rFonts w:hint="eastAsia"/>
          <w:lang w:val="en-US" w:eastAsia="zh-CN"/>
        </w:rPr>
        <w:t>GB 4806.7       食品安全国家标准 食品接触用塑料材料及制品</w:t>
      </w:r>
    </w:p>
    <w:p>
      <w:pPr>
        <w:pStyle w:val="8"/>
        <w:bidi w:val="0"/>
        <w:rPr>
          <w:rFonts w:hint="eastAsia"/>
          <w:lang w:val="en-US" w:eastAsia="zh-CN"/>
        </w:rPr>
      </w:pPr>
      <w:r>
        <w:rPr>
          <w:rFonts w:hint="eastAsia"/>
          <w:lang w:val="en-US" w:eastAsia="zh-CN"/>
        </w:rPr>
        <w:t>GB 5009.5       食品安全国家标准 食品中蛋白质的测定</w:t>
      </w:r>
    </w:p>
    <w:p>
      <w:pPr>
        <w:pStyle w:val="8"/>
        <w:bidi w:val="0"/>
        <w:rPr>
          <w:rFonts w:hint="eastAsia"/>
          <w:lang w:val="en-US" w:eastAsia="zh-CN"/>
        </w:rPr>
      </w:pPr>
      <w:r>
        <w:rPr>
          <w:rFonts w:hint="eastAsia"/>
          <w:lang w:val="en-US" w:eastAsia="zh-CN"/>
        </w:rPr>
        <w:t>GB 5009.6       食品安全国家标准 食品中脂肪的测定</w:t>
      </w:r>
    </w:p>
    <w:p>
      <w:pPr>
        <w:pStyle w:val="8"/>
        <w:bidi w:val="0"/>
        <w:rPr>
          <w:rFonts w:hint="eastAsia"/>
          <w:lang w:val="en-US" w:eastAsia="zh-CN"/>
        </w:rPr>
      </w:pPr>
      <w:r>
        <w:rPr>
          <w:rFonts w:hint="eastAsia"/>
          <w:lang w:val="en-US" w:eastAsia="zh-CN"/>
        </w:rPr>
        <w:t>GB 5009.11      食品安全国家标准 食品中总砷及无机砷的测定</w:t>
      </w:r>
    </w:p>
    <w:p>
      <w:pPr>
        <w:pStyle w:val="8"/>
        <w:bidi w:val="0"/>
        <w:rPr>
          <w:rFonts w:hint="eastAsia"/>
          <w:lang w:val="en-US" w:eastAsia="zh-CN"/>
        </w:rPr>
      </w:pPr>
      <w:r>
        <w:rPr>
          <w:rFonts w:hint="eastAsia"/>
          <w:lang w:val="en-US" w:eastAsia="zh-CN"/>
        </w:rPr>
        <w:t>GB 5009.12      食品安全国家标准 食品中铅的测定</w:t>
      </w:r>
    </w:p>
    <w:p>
      <w:pPr>
        <w:pStyle w:val="8"/>
        <w:bidi w:val="0"/>
        <w:rPr>
          <w:rFonts w:hint="eastAsia"/>
          <w:lang w:val="en-US" w:eastAsia="zh-CN"/>
        </w:rPr>
      </w:pPr>
      <w:r>
        <w:rPr>
          <w:rFonts w:hint="eastAsia"/>
          <w:lang w:val="en-US" w:eastAsia="zh-CN"/>
        </w:rPr>
        <w:t>GB 5009.15      食品安全国家标准 食品中镉的测定</w:t>
      </w:r>
    </w:p>
    <w:p>
      <w:pPr>
        <w:pStyle w:val="8"/>
        <w:bidi w:val="0"/>
        <w:rPr>
          <w:rFonts w:hint="eastAsia"/>
          <w:lang w:val="en-US" w:eastAsia="zh-CN"/>
        </w:rPr>
      </w:pPr>
      <w:r>
        <w:rPr>
          <w:rFonts w:hint="eastAsia"/>
          <w:lang w:val="en-US" w:eastAsia="zh-CN"/>
        </w:rPr>
        <w:t>GB 5009.17      食品安全国家标准 食品中总汞及有机汞的测定</w:t>
      </w:r>
    </w:p>
    <w:p>
      <w:pPr>
        <w:pStyle w:val="8"/>
        <w:bidi w:val="0"/>
        <w:rPr>
          <w:rFonts w:hint="eastAsia"/>
          <w:lang w:val="en-US" w:eastAsia="zh-CN"/>
        </w:rPr>
      </w:pPr>
      <w:r>
        <w:rPr>
          <w:rFonts w:hint="eastAsia"/>
          <w:lang w:val="en-US" w:eastAsia="zh-CN"/>
        </w:rPr>
        <w:t>GB 5009.90      食品安全国家标准 食品中铁的测定</w:t>
      </w:r>
    </w:p>
    <w:p>
      <w:pPr>
        <w:pStyle w:val="8"/>
        <w:bidi w:val="0"/>
        <w:rPr>
          <w:rFonts w:hint="eastAsia"/>
          <w:lang w:val="en-US" w:eastAsia="zh-CN"/>
        </w:rPr>
      </w:pPr>
      <w:r>
        <w:rPr>
          <w:rFonts w:hint="eastAsia"/>
          <w:lang w:val="en-US" w:eastAsia="zh-CN"/>
        </w:rPr>
        <w:t>GB 5009.124     食品安全国家标准 食品中氨基酸的测定</w:t>
      </w:r>
    </w:p>
    <w:p>
      <w:pPr>
        <w:pStyle w:val="8"/>
        <w:bidi w:val="0"/>
        <w:rPr>
          <w:rFonts w:hint="eastAsia"/>
          <w:lang w:val="en-US" w:eastAsia="zh-CN"/>
        </w:rPr>
      </w:pPr>
      <w:r>
        <w:rPr>
          <w:rFonts w:hint="eastAsia"/>
          <w:lang w:val="en-US" w:eastAsia="zh-CN"/>
        </w:rPr>
        <w:t>GB 5009.168     食品安全国家标准 食品中脂肪酸的测定</w:t>
      </w:r>
    </w:p>
    <w:p>
      <w:pPr>
        <w:pStyle w:val="8"/>
        <w:bidi w:val="0"/>
        <w:rPr>
          <w:rFonts w:hint="eastAsia"/>
          <w:lang w:val="en-US" w:eastAsia="zh-CN"/>
        </w:rPr>
      </w:pPr>
      <w:r>
        <w:rPr>
          <w:rFonts w:hint="eastAsia"/>
          <w:lang w:val="en-US" w:eastAsia="zh-CN"/>
        </w:rPr>
        <w:t>GB 5009.228     食品安全国家标准 食品中挥发性盐基氮的测定</w:t>
      </w:r>
    </w:p>
    <w:p>
      <w:pPr>
        <w:pStyle w:val="8"/>
        <w:bidi w:val="0"/>
        <w:rPr>
          <w:rFonts w:hint="eastAsia"/>
          <w:lang w:val="en-US" w:eastAsia="zh-CN"/>
        </w:rPr>
      </w:pPr>
      <w:r>
        <w:rPr>
          <w:rFonts w:hint="eastAsia"/>
          <w:lang w:val="en-US" w:eastAsia="zh-CN"/>
        </w:rPr>
        <w:t>GB 7718         食品安全国家标准 预包装食品标签通则</w:t>
      </w:r>
    </w:p>
    <w:p>
      <w:pPr>
        <w:pStyle w:val="8"/>
        <w:bidi w:val="0"/>
        <w:rPr>
          <w:rFonts w:hint="eastAsia"/>
          <w:lang w:val="en-US" w:eastAsia="zh-CN"/>
        </w:rPr>
      </w:pPr>
      <w:r>
        <w:rPr>
          <w:rFonts w:hint="eastAsia"/>
          <w:lang w:val="en-US" w:eastAsia="zh-CN"/>
        </w:rPr>
        <w:t xml:space="preserve">GB 18393        </w:t>
      </w:r>
      <w:r>
        <w:rPr>
          <w:rFonts w:hint="eastAsia"/>
          <w:lang w:val="en-US" w:eastAsia="zh-CN"/>
        </w:rPr>
        <w:fldChar w:fldCharType="begin"/>
      </w:r>
      <w:r>
        <w:rPr>
          <w:rFonts w:hint="eastAsia"/>
          <w:lang w:val="en-US" w:eastAsia="zh-CN"/>
        </w:rPr>
        <w:instrText xml:space="preserve"> HYPERLINK "http://down.foodmate.net/standard/sort/3/2607.html" \o "GB 18393-2001 牛羊屠宰产品品质检验规程" \t "http://down.foodmate.net/standard/_blank" </w:instrText>
      </w:r>
      <w:r>
        <w:rPr>
          <w:rFonts w:hint="eastAsia"/>
          <w:lang w:val="en-US" w:eastAsia="zh-CN"/>
        </w:rPr>
        <w:fldChar w:fldCharType="separate"/>
      </w:r>
      <w:r>
        <w:rPr>
          <w:rFonts w:hint="eastAsia"/>
          <w:lang w:val="en-US" w:eastAsia="zh-CN"/>
        </w:rPr>
        <w:t>牛羊屠宰产品品质检验规程</w:t>
      </w:r>
      <w:r>
        <w:rPr>
          <w:rFonts w:hint="eastAsia"/>
          <w:lang w:val="en-US" w:eastAsia="zh-CN"/>
        </w:rPr>
        <w:fldChar w:fldCharType="end"/>
      </w:r>
    </w:p>
    <w:p>
      <w:pPr>
        <w:pStyle w:val="8"/>
        <w:bidi w:val="0"/>
        <w:rPr>
          <w:rFonts w:hint="eastAsia"/>
          <w:lang w:val="en-US" w:eastAsia="zh-CN"/>
        </w:rPr>
      </w:pPr>
      <w:r>
        <w:rPr>
          <w:rFonts w:hint="eastAsia"/>
          <w:lang w:val="en-US" w:eastAsia="zh-CN"/>
        </w:rPr>
        <w:t>GB 18394        畜禽肉水分限量</w:t>
      </w:r>
    </w:p>
    <w:p>
      <w:pPr>
        <w:pStyle w:val="8"/>
        <w:bidi w:val="0"/>
        <w:rPr>
          <w:rFonts w:hint="eastAsia"/>
          <w:lang w:val="en-US" w:eastAsia="zh-CN"/>
        </w:rPr>
      </w:pPr>
      <w:r>
        <w:rPr>
          <w:rFonts w:hint="eastAsia"/>
          <w:lang w:val="en-US" w:eastAsia="zh-CN"/>
        </w:rPr>
        <w:t>GB 31650        食品安全国家标准 食品中兽药最大残留限量</w:t>
      </w:r>
    </w:p>
    <w:p>
      <w:pPr>
        <w:pStyle w:val="8"/>
        <w:bidi w:val="0"/>
        <w:rPr>
          <w:rFonts w:hint="eastAsia"/>
          <w:lang w:val="en-US" w:eastAsia="zh-CN"/>
        </w:rPr>
      </w:pPr>
      <w:r>
        <w:rPr>
          <w:rFonts w:hint="eastAsia"/>
          <w:lang w:val="en-US" w:eastAsia="zh-CN"/>
        </w:rPr>
        <w:t>GB/T 191        包装储运图示标志</w:t>
      </w:r>
    </w:p>
    <w:p>
      <w:pPr>
        <w:pStyle w:val="8"/>
        <w:bidi w:val="0"/>
        <w:rPr>
          <w:rFonts w:hint="eastAsia"/>
          <w:lang w:val="en-US" w:eastAsia="zh-CN"/>
        </w:rPr>
      </w:pPr>
      <w:r>
        <w:rPr>
          <w:rFonts w:hint="eastAsia"/>
          <w:lang w:val="en-US" w:eastAsia="zh-CN"/>
        </w:rPr>
        <w:t>GB/T 4789.17    食品卫生微生物学检验  肉与肉制品检验</w:t>
      </w:r>
    </w:p>
    <w:p>
      <w:pPr>
        <w:pStyle w:val="8"/>
        <w:bidi w:val="0"/>
        <w:rPr>
          <w:rFonts w:hint="eastAsia"/>
          <w:lang w:val="en-US" w:eastAsia="zh-CN"/>
        </w:rPr>
      </w:pPr>
      <w:r>
        <w:rPr>
          <w:rFonts w:hint="eastAsia"/>
          <w:lang w:val="en-US" w:eastAsia="zh-CN"/>
        </w:rPr>
        <w:t>GB/T 5009.44    肉与肉制品卫生标准的分析方法</w:t>
      </w:r>
    </w:p>
    <w:p>
      <w:pPr>
        <w:pStyle w:val="8"/>
        <w:bidi w:val="0"/>
        <w:rPr>
          <w:rFonts w:hint="eastAsia"/>
          <w:lang w:val="en-US" w:eastAsia="zh-CN"/>
        </w:rPr>
      </w:pPr>
      <w:r>
        <w:rPr>
          <w:rFonts w:hint="eastAsia"/>
          <w:lang w:val="en-US" w:eastAsia="zh-CN"/>
        </w:rPr>
        <w:t>GB/T 9961       鲜、冻胴体羊肉</w:t>
      </w:r>
    </w:p>
    <w:p>
      <w:pPr>
        <w:pStyle w:val="8"/>
        <w:bidi w:val="0"/>
        <w:rPr>
          <w:rFonts w:hint="eastAsia"/>
          <w:lang w:val="en-US" w:eastAsia="zh-CN"/>
        </w:rPr>
      </w:pPr>
      <w:r>
        <w:rPr>
          <w:rFonts w:hint="eastAsia"/>
          <w:lang w:val="en-US" w:eastAsia="zh-CN"/>
        </w:rPr>
        <w:t>GB/T 17237      畜类屠宰加工通用技术条件</w:t>
      </w:r>
    </w:p>
    <w:p>
      <w:pPr>
        <w:pStyle w:val="8"/>
        <w:bidi w:val="0"/>
        <w:rPr>
          <w:rFonts w:hint="eastAsia"/>
          <w:lang w:val="en-US" w:eastAsia="zh-CN"/>
        </w:rPr>
      </w:pPr>
      <w:r>
        <w:rPr>
          <w:rFonts w:hint="eastAsia"/>
          <w:lang w:val="en-US" w:eastAsia="zh-CN"/>
        </w:rPr>
        <w:t>GB/T 17924      地理标志产品 标准通用要求</w:t>
      </w:r>
    </w:p>
    <w:p>
      <w:pPr>
        <w:pStyle w:val="8"/>
        <w:bidi w:val="0"/>
        <w:rPr>
          <w:rFonts w:hint="eastAsia"/>
          <w:lang w:val="en-US" w:eastAsia="zh-CN"/>
        </w:rPr>
      </w:pPr>
      <w:r>
        <w:rPr>
          <w:rFonts w:hint="eastAsia"/>
          <w:lang w:val="en-US" w:eastAsia="zh-CN"/>
        </w:rPr>
        <w:t>GB/T 20799      肉与肉制品经营卫生规范</w:t>
      </w:r>
    </w:p>
    <w:p>
      <w:pPr>
        <w:pStyle w:val="8"/>
        <w:bidi w:val="0"/>
        <w:rPr>
          <w:rFonts w:hint="default"/>
          <w:lang w:val="en-US" w:eastAsia="zh-CN"/>
        </w:rPr>
      </w:pPr>
      <w:r>
        <w:rPr>
          <w:rFonts w:hint="eastAsia"/>
          <w:lang w:val="en-US" w:eastAsia="zh-CN"/>
        </w:rPr>
        <w:t>JJF  1070       定量包装商品净含量计量检验规则</w:t>
      </w:r>
    </w:p>
    <w:p>
      <w:pPr>
        <w:pStyle w:val="10"/>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 xml:space="preserve">  术语和定义</w:t>
      </w:r>
    </w:p>
    <w:p>
      <w:pPr>
        <w:pStyle w:val="8"/>
        <w:bidi w:val="0"/>
        <w:rPr>
          <w:rFonts w:hint="eastAsia"/>
          <w:lang w:val="en-US" w:eastAsia="zh-CN"/>
        </w:rPr>
      </w:pPr>
      <w:r>
        <w:rPr>
          <w:rFonts w:hint="eastAsia"/>
          <w:lang w:val="en-US" w:eastAsia="zh-CN"/>
        </w:rPr>
        <w:t>下列术语和定义适用于本标准。</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哈密羊肉</w:t>
      </w:r>
    </w:p>
    <w:p>
      <w:pPr>
        <w:pStyle w:val="8"/>
        <w:bidi w:val="0"/>
        <w:rPr>
          <w:rFonts w:hint="eastAsia"/>
          <w:lang w:val="en-US" w:eastAsia="zh-CN"/>
        </w:rPr>
      </w:pPr>
      <w:r>
        <w:rPr>
          <w:rFonts w:hint="eastAsia"/>
          <w:lang w:val="en-US" w:eastAsia="zh-CN"/>
        </w:rPr>
        <w:t>在地理标志农产品哈密羊肉保护范围内，天然草场放牧及放牧加补饲条件下养殖的哈萨克羊为主的肉用羊，经检疫合格，屠宰、加工后的新鲜羊肉或冷冻羊肉。</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成年羊羊肉</w:t>
      </w:r>
    </w:p>
    <w:p>
      <w:pPr>
        <w:pStyle w:val="8"/>
        <w:bidi w:val="0"/>
        <w:rPr>
          <w:rFonts w:hint="eastAsia"/>
          <w:lang w:val="en-US" w:eastAsia="zh-CN"/>
        </w:rPr>
      </w:pPr>
      <w:r>
        <w:rPr>
          <w:rFonts w:hint="eastAsia"/>
          <w:lang w:val="en-US" w:eastAsia="zh-CN"/>
        </w:rPr>
        <w:t>大于18月龄小于36月龄的哈萨克羊为主的肉用羊羊肉。</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羔羊肉</w:t>
      </w:r>
    </w:p>
    <w:p>
      <w:pPr>
        <w:pStyle w:val="8"/>
        <w:bidi w:val="0"/>
        <w:rPr>
          <w:rFonts w:hint="eastAsia"/>
          <w:lang w:val="en-US" w:eastAsia="zh-CN"/>
        </w:rPr>
      </w:pPr>
      <w:r>
        <w:rPr>
          <w:rFonts w:hint="eastAsia"/>
          <w:lang w:val="en-US" w:eastAsia="zh-CN"/>
        </w:rPr>
        <w:t>大于6月龄小于18月龄的哈萨克羊为主的肉用羊羊肉。</w:t>
      </w:r>
    </w:p>
    <w:p>
      <w:pPr>
        <w:pStyle w:val="10"/>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保护范围</w:t>
      </w:r>
    </w:p>
    <w:p>
      <w:pPr>
        <w:pStyle w:val="8"/>
        <w:bidi w:val="0"/>
        <w:rPr>
          <w:rFonts w:hint="eastAsia"/>
          <w:lang w:val="en-US" w:eastAsia="zh-CN"/>
        </w:rPr>
      </w:pPr>
      <w:r>
        <w:rPr>
          <w:rFonts w:hint="eastAsia"/>
          <w:lang w:val="en-US" w:eastAsia="zh-CN"/>
        </w:rPr>
        <w:t>限于农业农村部第126号公告批准的哈密市伊州区、巴里坤县、伊吾县两县一区23个乡镇现辖行政区域范围内（见附录A）。</w:t>
      </w:r>
    </w:p>
    <w:p>
      <w:pPr>
        <w:pStyle w:val="8"/>
        <w:rPr>
          <w:rFonts w:hint="eastAsia" w:ascii="黑体" w:eastAsia="黑体" w:hAnsiTheme="minorHAnsi" w:cstheme="minorBidi"/>
          <w:kern w:val="0"/>
          <w:sz w:val="21"/>
          <w:szCs w:val="20"/>
          <w:lang w:val="en-US" w:eastAsia="zh-CN" w:bidi="ar-SA"/>
        </w:rPr>
      </w:pPr>
    </w:p>
    <w:p>
      <w:pPr>
        <w:pStyle w:val="10"/>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技术要求</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自然环境</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地理环境</w:t>
      </w:r>
    </w:p>
    <w:p>
      <w:pPr>
        <w:pStyle w:val="8"/>
        <w:bidi w:val="0"/>
        <w:rPr>
          <w:rFonts w:hint="eastAsia"/>
          <w:lang w:val="en-US" w:eastAsia="zh-CN"/>
        </w:rPr>
      </w:pPr>
      <w:r>
        <w:rPr>
          <w:rFonts w:hint="eastAsia"/>
          <w:lang w:val="en-US" w:eastAsia="zh-CN"/>
        </w:rPr>
        <w:t>哈密市地处中纬度，光照丰富，冬冷夏热，昼夜温差大，干燥少雨。东天山余脉贯穿其中，形成山南山北两大自然环境区，山北多山地草原，气候寒凉；山南沙漠环抱绿洲盆地，气候干热。</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气候特征</w:t>
      </w:r>
    </w:p>
    <w:p>
      <w:pPr>
        <w:pStyle w:val="8"/>
        <w:bidi w:val="0"/>
        <w:rPr>
          <w:rFonts w:hint="eastAsia"/>
          <w:lang w:val="en-US" w:eastAsia="zh-CN"/>
        </w:rPr>
      </w:pPr>
      <w:r>
        <w:rPr>
          <w:rFonts w:hint="eastAsia"/>
          <w:lang w:val="en-US" w:eastAsia="zh-CN"/>
        </w:rPr>
        <w:t>年平均温度5.9℃，年降水量129.5mm，年均日照3100h，平均无霜期110天。</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土壤植被特征</w:t>
      </w:r>
    </w:p>
    <w:p>
      <w:pPr>
        <w:pStyle w:val="8"/>
        <w:bidi w:val="0"/>
        <w:rPr>
          <w:rFonts w:hint="eastAsia"/>
          <w:lang w:val="en-US" w:eastAsia="zh-CN"/>
        </w:rPr>
      </w:pPr>
      <w:r>
        <w:rPr>
          <w:rFonts w:hint="eastAsia"/>
          <w:lang w:val="en-US" w:eastAsia="zh-CN"/>
        </w:rPr>
        <w:t>土壤以潮土、草甸土、沼泽土、盐土为主；植被多以荒漠草原植被和干旱盐碱植被为主。有天然牧草500多种， 以禾本科、豆科、藜科为主，植被中有盐爪爪、碱茅等天然排酸牧草以及甘草、锁阳、党参等中草药。</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原料要求</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品种</w:t>
      </w:r>
    </w:p>
    <w:p>
      <w:pPr>
        <w:pStyle w:val="8"/>
        <w:bidi w:val="0"/>
        <w:rPr>
          <w:rFonts w:hint="eastAsia"/>
          <w:lang w:val="en-US" w:eastAsia="zh-CN"/>
        </w:rPr>
      </w:pPr>
      <w:r>
        <w:rPr>
          <w:rFonts w:hint="eastAsia"/>
          <w:lang w:val="en-US" w:eastAsia="zh-CN"/>
        </w:rPr>
        <w:t>以哈萨克羊为主的肉用羊。</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饲养方式</w:t>
      </w:r>
    </w:p>
    <w:p>
      <w:pPr>
        <w:pStyle w:val="8"/>
        <w:bidi w:val="0"/>
        <w:rPr>
          <w:rFonts w:hint="eastAsia"/>
          <w:lang w:val="en-US" w:eastAsia="zh-CN"/>
        </w:rPr>
      </w:pPr>
      <w:r>
        <w:rPr>
          <w:rFonts w:hint="eastAsia"/>
          <w:lang w:val="en-US" w:eastAsia="zh-CN"/>
        </w:rPr>
        <w:t>天然草场放牧+少量补饲，饲料以本地产玉米、麸皮及农作物秸秆为主。</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屠宰要求</w:t>
      </w:r>
    </w:p>
    <w:p>
      <w:pPr>
        <w:pStyle w:val="8"/>
        <w:bidi w:val="0"/>
        <w:rPr>
          <w:rFonts w:hint="eastAsia"/>
          <w:lang w:val="en-US" w:eastAsia="zh-CN"/>
        </w:rPr>
      </w:pPr>
      <w:r>
        <w:rPr>
          <w:rFonts w:hint="eastAsia"/>
          <w:lang w:val="en-US" w:eastAsia="zh-CN"/>
        </w:rPr>
        <w:t>羊只必须来自地理标志农产品哈密羊肉保护区，并持有当地动物防疫监督机构出具的检疫证明。</w:t>
      </w:r>
    </w:p>
    <w:p>
      <w:pPr>
        <w:pStyle w:val="13"/>
        <w:bidi w:val="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羊胴体的品种、规格按GB/T 9961规定执行</w:t>
      </w:r>
    </w:p>
    <w:p>
      <w:pPr>
        <w:pStyle w:val="13"/>
        <w:bidi w:val="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屠宰检疫检验按 GB 18393规定执行。</w:t>
      </w:r>
    </w:p>
    <w:p>
      <w:pPr>
        <w:pStyle w:val="13"/>
        <w:bidi w:val="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屠宰加工按GB/T 17237相关规定执行。</w:t>
      </w:r>
    </w:p>
    <w:p>
      <w:pPr>
        <w:pStyle w:val="10"/>
        <w:bidi w:val="0"/>
        <w:ind w:left="4" w:leftChars="0" w:hanging="4"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产品质量要求</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感官指标</w:t>
      </w:r>
    </w:p>
    <w:p>
      <w:pPr>
        <w:pStyle w:val="8"/>
        <w:bidi w:val="0"/>
        <w:rPr>
          <w:rFonts w:hint="eastAsia"/>
          <w:lang w:val="en-US" w:eastAsia="zh-CN"/>
        </w:rPr>
      </w:pPr>
      <w:r>
        <w:rPr>
          <w:rFonts w:hint="eastAsia"/>
          <w:lang w:val="en-US" w:eastAsia="zh-CN"/>
        </w:rPr>
        <w:t>应符合表1的要求。</w:t>
      </w:r>
    </w:p>
    <w:p>
      <w:pPr>
        <w:pStyle w:val="8"/>
        <w:ind w:firstLine="0" w:firstLineChars="0"/>
        <w:jc w:val="center"/>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表1 羊肉感官指标</w:t>
      </w:r>
    </w:p>
    <w:tbl>
      <w:tblPr>
        <w:tblStyle w:val="4"/>
        <w:tblW w:w="84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787"/>
        <w:gridCol w:w="56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2787" w:type="dxa"/>
            <w:tcBorders>
              <w:top w:val="single" w:color="auto" w:sz="8" w:space="0"/>
              <w:bottom w:val="single" w:color="auto" w:sz="8" w:space="0"/>
            </w:tcBorders>
            <w:noWrap w:val="0"/>
            <w:vAlign w:val="center"/>
          </w:tcPr>
          <w:p>
            <w:pPr>
              <w:pStyle w:val="8"/>
              <w:widowControl w:val="0"/>
              <w:spacing w:before="156" w:after="156"/>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项    目</w:t>
            </w:r>
          </w:p>
        </w:tc>
        <w:tc>
          <w:tcPr>
            <w:tcW w:w="5647" w:type="dxa"/>
            <w:tcBorders>
              <w:top w:val="single" w:color="auto" w:sz="8" w:space="0"/>
              <w:bottom w:val="single" w:color="auto" w:sz="8" w:space="0"/>
            </w:tcBorders>
            <w:noWrap w:val="0"/>
            <w:vAlign w:val="center"/>
          </w:tcPr>
          <w:p>
            <w:pPr>
              <w:pStyle w:val="8"/>
              <w:widowControl w:val="0"/>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鲜羊肉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2787" w:type="dxa"/>
            <w:tcBorders>
              <w:top w:val="single" w:color="auto" w:sz="8" w:space="0"/>
            </w:tcBorders>
            <w:noWrap w:val="0"/>
            <w:vAlign w:val="center"/>
          </w:tcPr>
          <w:p>
            <w:pPr>
              <w:pStyle w:val="8"/>
              <w:widowControl w:val="0"/>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色  泽</w:t>
            </w:r>
          </w:p>
        </w:tc>
        <w:tc>
          <w:tcPr>
            <w:tcW w:w="5647" w:type="dxa"/>
            <w:tcBorders>
              <w:top w:val="single" w:color="auto" w:sz="8" w:space="0"/>
            </w:tcBorders>
            <w:noWrap w:val="0"/>
            <w:vAlign w:val="center"/>
          </w:tcPr>
          <w:p>
            <w:pPr>
              <w:pStyle w:val="8"/>
              <w:widowControl w:val="0"/>
              <w:ind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肌肉色泽鲜红或深红，有光泽，脂肪呈乳白色</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jc w:val="center"/>
        </w:trPr>
        <w:tc>
          <w:tcPr>
            <w:tcW w:w="2787" w:type="dxa"/>
            <w:noWrap w:val="0"/>
            <w:vAlign w:val="center"/>
          </w:tcPr>
          <w:p>
            <w:pPr>
              <w:pStyle w:val="8"/>
              <w:widowControl w:val="0"/>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弹  性</w:t>
            </w:r>
          </w:p>
          <w:p>
            <w:pPr>
              <w:pStyle w:val="8"/>
              <w:widowControl w:val="0"/>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(组织状态)</w:t>
            </w:r>
          </w:p>
        </w:tc>
        <w:tc>
          <w:tcPr>
            <w:tcW w:w="5647" w:type="dxa"/>
            <w:noWrap w:val="0"/>
            <w:vAlign w:val="center"/>
          </w:tcPr>
          <w:p>
            <w:pPr>
              <w:pStyle w:val="8"/>
              <w:widowControl w:val="0"/>
              <w:ind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肌纤维致密、坚实、有弹性，指压后的凹陷立即恢复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jc w:val="center"/>
        </w:trPr>
        <w:tc>
          <w:tcPr>
            <w:tcW w:w="2787" w:type="dxa"/>
            <w:noWrap w:val="0"/>
            <w:vAlign w:val="center"/>
          </w:tcPr>
          <w:p>
            <w:pPr>
              <w:pStyle w:val="8"/>
              <w:widowControl w:val="0"/>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黏  度</w:t>
            </w:r>
          </w:p>
        </w:tc>
        <w:tc>
          <w:tcPr>
            <w:tcW w:w="5647" w:type="dxa"/>
            <w:noWrap w:val="0"/>
            <w:vAlign w:val="center"/>
          </w:tcPr>
          <w:p>
            <w:pPr>
              <w:pStyle w:val="8"/>
              <w:widowControl w:val="0"/>
              <w:ind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外表微干或有风干膜，不粘手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787" w:type="dxa"/>
            <w:noWrap w:val="0"/>
            <w:vAlign w:val="center"/>
          </w:tcPr>
          <w:p>
            <w:pPr>
              <w:pStyle w:val="8"/>
              <w:widowControl w:val="0"/>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气  味</w:t>
            </w:r>
          </w:p>
        </w:tc>
        <w:tc>
          <w:tcPr>
            <w:tcW w:w="5647" w:type="dxa"/>
            <w:noWrap w:val="0"/>
            <w:vAlign w:val="center"/>
          </w:tcPr>
          <w:p>
            <w:pPr>
              <w:pStyle w:val="8"/>
              <w:widowControl w:val="0"/>
              <w:ind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具有新鲜羊肉正常气味，腥膻味极小。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2787" w:type="dxa"/>
            <w:noWrap w:val="0"/>
            <w:vAlign w:val="center"/>
          </w:tcPr>
          <w:p>
            <w:pPr>
              <w:pStyle w:val="8"/>
              <w:widowControl w:val="0"/>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煮沸后肉汤</w:t>
            </w:r>
          </w:p>
        </w:tc>
        <w:tc>
          <w:tcPr>
            <w:tcW w:w="5647" w:type="dxa"/>
            <w:noWrap w:val="0"/>
            <w:vAlign w:val="center"/>
          </w:tcPr>
          <w:p>
            <w:pPr>
              <w:pStyle w:val="8"/>
              <w:widowControl w:val="0"/>
              <w:ind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透明澄清，脂肪团聚于液面，具有香味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jc w:val="center"/>
        </w:trPr>
        <w:tc>
          <w:tcPr>
            <w:tcW w:w="2787" w:type="dxa"/>
            <w:noWrap w:val="0"/>
            <w:vAlign w:val="center"/>
          </w:tcPr>
          <w:p>
            <w:pPr>
              <w:pStyle w:val="8"/>
              <w:widowControl w:val="0"/>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杂  质</w:t>
            </w:r>
          </w:p>
        </w:tc>
        <w:tc>
          <w:tcPr>
            <w:tcW w:w="5647" w:type="dxa"/>
            <w:noWrap w:val="0"/>
            <w:vAlign w:val="center"/>
          </w:tcPr>
          <w:p>
            <w:pPr>
              <w:pStyle w:val="8"/>
              <w:widowControl w:val="0"/>
              <w:ind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无肉眼可见异物</w:t>
            </w:r>
          </w:p>
        </w:tc>
      </w:tr>
    </w:tbl>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理化指标</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理化指标应符合表2的要求。</w:t>
      </w:r>
    </w:p>
    <w:p>
      <w:pPr>
        <w:pStyle w:val="8"/>
        <w:ind w:firstLine="0" w:firstLineChars="0"/>
        <w:jc w:val="center"/>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表2  理化指标</w:t>
      </w:r>
    </w:p>
    <w:tbl>
      <w:tblPr>
        <w:tblStyle w:val="4"/>
        <w:tblW w:w="9071"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820"/>
        <w:gridCol w:w="42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4820" w:type="dxa"/>
            <w:tcBorders>
              <w:top w:val="single" w:color="auto" w:sz="8" w:space="0"/>
              <w:bottom w:val="single" w:color="auto" w:sz="8" w:space="0"/>
            </w:tcBorders>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项  目</w:t>
            </w:r>
          </w:p>
        </w:tc>
        <w:tc>
          <w:tcPr>
            <w:tcW w:w="4251" w:type="dxa"/>
            <w:tcBorders>
              <w:top w:val="single" w:color="auto" w:sz="8" w:space="0"/>
              <w:bottom w:val="single" w:color="auto" w:sz="8" w:space="0"/>
            </w:tcBorders>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指标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78" w:hRule="atLeast"/>
          <w:jc w:val="center"/>
        </w:trPr>
        <w:tc>
          <w:tcPr>
            <w:tcW w:w="4820" w:type="dxa"/>
            <w:tcBorders>
              <w:top w:val="single" w:color="auto" w:sz="8" w:space="0"/>
            </w:tcBorders>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水  分/%</w:t>
            </w:r>
          </w:p>
        </w:tc>
        <w:tc>
          <w:tcPr>
            <w:tcW w:w="4251" w:type="dxa"/>
            <w:tcBorders>
              <w:top w:val="single" w:color="auto" w:sz="8" w:space="0"/>
            </w:tcBorders>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≤78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78" w:hRule="atLeast"/>
          <w:jc w:val="center"/>
        </w:trPr>
        <w:tc>
          <w:tcPr>
            <w:tcW w:w="4820"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蛋白质含量/%</w:t>
            </w:r>
          </w:p>
        </w:tc>
        <w:tc>
          <w:tcPr>
            <w:tcW w:w="4251"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≥17.8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78" w:hRule="atLeast"/>
          <w:jc w:val="center"/>
        </w:trPr>
        <w:tc>
          <w:tcPr>
            <w:tcW w:w="4820"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挥发性盐基氮 /( mg/100g)</w:t>
            </w:r>
          </w:p>
        </w:tc>
        <w:tc>
          <w:tcPr>
            <w:tcW w:w="4251"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78" w:hRule="atLeast"/>
          <w:jc w:val="center"/>
        </w:trPr>
        <w:tc>
          <w:tcPr>
            <w:tcW w:w="4820"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17种氨基酸 /%</w:t>
            </w:r>
          </w:p>
        </w:tc>
        <w:tc>
          <w:tcPr>
            <w:tcW w:w="4251"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 xml:space="preserve">≥16.7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4820"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油酸在脂肪酸中的占比/%</w:t>
            </w:r>
          </w:p>
        </w:tc>
        <w:tc>
          <w:tcPr>
            <w:tcW w:w="4251"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 xml:space="preserve">≥28.8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4820"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铁</w:t>
            </w:r>
          </w:p>
        </w:tc>
        <w:tc>
          <w:tcPr>
            <w:tcW w:w="4251" w:type="dxa"/>
            <w:noWrap w:val="0"/>
            <w:vAlign w:val="center"/>
          </w:tcPr>
          <w:p>
            <w:pPr>
              <w:pStyle w:val="8"/>
              <w:ind w:firstLine="0" w:firstLineChars="0"/>
              <w:jc w:val="center"/>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≥15.8</w:t>
            </w:r>
          </w:p>
        </w:tc>
      </w:tr>
    </w:tbl>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卫生要求</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微生物指标</w:t>
      </w:r>
    </w:p>
    <w:p>
      <w:pPr>
        <w:pStyle w:val="8"/>
        <w:ind w:firstLine="525" w:firstLineChars="25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微生物指标应符合GB/T 9961的规定。</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兽药残留指标</w:t>
      </w:r>
    </w:p>
    <w:p>
      <w:pPr>
        <w:pStyle w:val="8"/>
        <w:ind w:firstLine="630" w:firstLineChars="30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兽药最大残留限量应符合GB 31650的规定。</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污染物限量</w:t>
      </w:r>
    </w:p>
    <w:p>
      <w:pPr>
        <w:pStyle w:val="8"/>
        <w:ind w:firstLine="630" w:firstLineChars="30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总汞、总砷、镉、铅含量应符合GB 2762的规定。</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净含量</w:t>
      </w:r>
    </w:p>
    <w:p>
      <w:pPr>
        <w:pStyle w:val="8"/>
        <w:ind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 xml:space="preserve">    散装产品以实际称重为准。包装产品以产品标签或外包装标注为准，定量包装产品允许短缺量应符合《定量包装商品计量监督管理办法》的规定。</w:t>
      </w:r>
    </w:p>
    <w:p>
      <w:pPr>
        <w:pStyle w:val="10"/>
        <w:bidi w:val="0"/>
        <w:ind w:left="4" w:leftChars="0" w:hanging="4"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检验方法</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感官检验</w:t>
      </w:r>
    </w:p>
    <w:p>
      <w:pPr>
        <w:pStyle w:val="12"/>
        <w:bidi w:val="0"/>
        <w:ind w:left="0" w:leftChars="0"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色泽：</w:t>
      </w:r>
      <w:r>
        <w:rPr>
          <w:rFonts w:hint="eastAsia" w:asciiTheme="minorEastAsia" w:hAnsiTheme="minorEastAsia" w:eastAsiaTheme="minorEastAsia" w:cstheme="minorEastAsia"/>
          <w:kern w:val="0"/>
          <w:sz w:val="21"/>
          <w:szCs w:val="20"/>
          <w:lang w:val="en-US" w:eastAsia="zh-CN" w:bidi="ar-SA"/>
        </w:rPr>
        <w:t>目测</w:t>
      </w:r>
    </w:p>
    <w:p>
      <w:pPr>
        <w:pStyle w:val="12"/>
        <w:bidi w:val="0"/>
        <w:ind w:left="0" w:leftChars="0"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 xml:space="preserve">组织状态： </w:t>
      </w:r>
      <w:r>
        <w:rPr>
          <w:rFonts w:hint="eastAsia" w:asciiTheme="minorEastAsia" w:hAnsiTheme="minorEastAsia" w:eastAsiaTheme="minorEastAsia" w:cstheme="minorEastAsia"/>
          <w:kern w:val="0"/>
          <w:sz w:val="21"/>
          <w:szCs w:val="20"/>
          <w:lang w:val="en-US" w:eastAsia="zh-CN" w:bidi="ar-SA"/>
        </w:rPr>
        <w:t>手触、目测。</w:t>
      </w:r>
    </w:p>
    <w:p>
      <w:pPr>
        <w:pStyle w:val="12"/>
        <w:bidi w:val="0"/>
        <w:ind w:left="0" w:leftChars="0"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弹性：</w:t>
      </w:r>
      <w:r>
        <w:rPr>
          <w:rFonts w:hint="eastAsia" w:asciiTheme="minorEastAsia" w:hAnsiTheme="minorEastAsia" w:eastAsiaTheme="minorEastAsia" w:cstheme="minorEastAsia"/>
          <w:kern w:val="0"/>
          <w:sz w:val="21"/>
          <w:szCs w:val="20"/>
          <w:lang w:val="en-US" w:eastAsia="zh-CN" w:bidi="ar-SA"/>
        </w:rPr>
        <w:t>手触。</w:t>
      </w:r>
    </w:p>
    <w:p>
      <w:pPr>
        <w:pStyle w:val="12"/>
        <w:bidi w:val="0"/>
        <w:ind w:left="0" w:leftChars="0"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粘度：</w:t>
      </w:r>
      <w:r>
        <w:rPr>
          <w:rFonts w:hint="eastAsia" w:asciiTheme="minorEastAsia" w:hAnsiTheme="minorEastAsia" w:eastAsiaTheme="minorEastAsia" w:cstheme="minorEastAsia"/>
          <w:kern w:val="0"/>
          <w:sz w:val="21"/>
          <w:szCs w:val="20"/>
          <w:lang w:val="en-US" w:eastAsia="zh-CN" w:bidi="ar-SA"/>
        </w:rPr>
        <w:t>目测、手触。</w:t>
      </w:r>
    </w:p>
    <w:p>
      <w:pPr>
        <w:pStyle w:val="12"/>
        <w:bidi w:val="0"/>
        <w:ind w:left="0" w:leftChars="0"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气味：</w:t>
      </w:r>
      <w:r>
        <w:rPr>
          <w:rFonts w:hint="eastAsia" w:asciiTheme="minorEastAsia" w:hAnsiTheme="minorEastAsia" w:eastAsiaTheme="minorEastAsia" w:cstheme="minorEastAsia"/>
          <w:kern w:val="0"/>
          <w:sz w:val="21"/>
          <w:szCs w:val="20"/>
          <w:lang w:val="en-US" w:eastAsia="zh-CN" w:bidi="ar-SA"/>
        </w:rPr>
        <w:t>闻、嗅。</w:t>
      </w:r>
    </w:p>
    <w:p>
      <w:pPr>
        <w:pStyle w:val="12"/>
        <w:bidi w:val="0"/>
        <w:ind w:left="0" w:leftChars="0"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煮沸后肉汤的检验：应按照GB/T 5009.44中3.2的规定执行。</w:t>
      </w:r>
    </w:p>
    <w:p>
      <w:pPr>
        <w:pStyle w:val="12"/>
        <w:bidi w:val="0"/>
        <w:ind w:left="0" w:leftChars="0" w:firstLine="0" w:firstLineChars="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将被检样品置于白瓷盘中，目测检验其是否有肉眼可见杂质。</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 xml:space="preserve"> 理化检验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挥发性盐基氮</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应按照GB 5009.228的规定执行。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水分</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应按照GB 18394的规定执行。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 xml:space="preserve">脂肪 </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应按照GB 5009.6 的规定执行。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蛋白质</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应按照GB 5009.5 的规定执行。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氨基酸</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 GB 5009.124的规定执行。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油酸</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应按照GB 5009.168的规定执行。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铁</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应按照GB 5009.90的规定执行。</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卫生检验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兽药残留检验</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应按GB 31650的规定执行。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污染物限量</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应按照GB 5009.11、GB 5009.12、 GB 5009.15、GB 5009.17的规定执行。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微生物检验</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按GB/T 4789.17的规定执行。</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净含量</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按JJF 1070的规定检验。</w:t>
      </w:r>
    </w:p>
    <w:p>
      <w:pPr>
        <w:pStyle w:val="10"/>
        <w:bidi w:val="0"/>
        <w:ind w:left="4" w:leftChars="0" w:hanging="4"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检验规则</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组批</w:t>
      </w:r>
    </w:p>
    <w:p>
      <w:pPr>
        <w:pStyle w:val="8"/>
        <w:ind w:firstLine="315" w:firstLineChars="15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同一批生产、同一规格的产品为一批。</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抽样</w:t>
      </w:r>
    </w:p>
    <w:p>
      <w:pPr>
        <w:pStyle w:val="8"/>
        <w:ind w:firstLine="315" w:firstLineChars="15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应按照GB/T 9961的规定执行。</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检验分类</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检验分为出厂检验和型式检验。</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出厂检验</w:t>
      </w:r>
    </w:p>
    <w:p>
      <w:pPr>
        <w:pStyle w:val="13"/>
        <w:bidi w:val="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每批产品进行出厂检验。</w:t>
      </w:r>
    </w:p>
    <w:p>
      <w:pPr>
        <w:pStyle w:val="13"/>
        <w:bidi w:val="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出厂检验项目为感官指标，净含量（定量包装产品）、标签。</w:t>
      </w:r>
    </w:p>
    <w:p>
      <w:pPr>
        <w:pStyle w:val="13"/>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判定规则</w:t>
      </w:r>
    </w:p>
    <w:p>
      <w:pPr>
        <w:pStyle w:val="8"/>
        <w:bidi w:val="0"/>
        <w:rPr>
          <w:rFonts w:hint="eastAsia"/>
          <w:lang w:val="en-US" w:eastAsia="zh-CN"/>
        </w:rPr>
      </w:pPr>
      <w:r>
        <w:rPr>
          <w:rFonts w:hint="eastAsia"/>
          <w:lang w:val="en-US" w:eastAsia="zh-CN"/>
        </w:rPr>
        <w:t>感官指标有一项不合格时，应加倍抽样，如仍有不合格时，则判定该批产品不合格。</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型式检验</w:t>
      </w:r>
    </w:p>
    <w:p>
      <w:pPr>
        <w:pStyle w:val="8"/>
        <w:bidi w:val="0"/>
        <w:rPr>
          <w:rFonts w:hint="eastAsia"/>
          <w:lang w:val="en-US" w:eastAsia="zh-CN"/>
        </w:rPr>
      </w:pPr>
      <w:r>
        <w:rPr>
          <w:rFonts w:hint="eastAsia"/>
          <w:lang w:val="en-US" w:eastAsia="zh-CN"/>
        </w:rPr>
        <w:t>型式检验每年至少进行一次，有下列情况之一时应进行型式检验：</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A 屠宰加工环境发生重大变化时；</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B 国家质量监督机构或行业主管部门提出进行型式检验要求时。</w:t>
      </w:r>
    </w:p>
    <w:p>
      <w:pPr>
        <w:pStyle w:val="8"/>
        <w:bidi w:val="0"/>
        <w:rPr>
          <w:rFonts w:hint="eastAsia"/>
          <w:lang w:val="en-US" w:eastAsia="zh-CN"/>
        </w:rPr>
      </w:pPr>
      <w:r>
        <w:rPr>
          <w:rFonts w:hint="eastAsia"/>
          <w:lang w:val="en-US" w:eastAsia="zh-CN"/>
        </w:rPr>
        <w:t>型式检验项目为本标准质量要求规定的所有项目。</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判定规则</w:t>
      </w:r>
    </w:p>
    <w:p>
      <w:pPr>
        <w:pStyle w:val="13"/>
        <w:bidi w:val="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检验项目结果全部符合本标准，判为合格品。若有一项或一项以上指标（微生物指标除外）不符合本标准要求时，可以在同批产品中加倍抽样进行复验。复验结果合格，则判为合格品，如复验结果仍有一项或一项以上指标不符合本标准要求时，则判该批次为不合格品。</w:t>
      </w:r>
    </w:p>
    <w:p>
      <w:pPr>
        <w:pStyle w:val="13"/>
        <w:bidi w:val="0"/>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微生物指标不符合本标准，则判该批次为不合格品，不得复验。</w:t>
      </w:r>
    </w:p>
    <w:p>
      <w:pPr>
        <w:pStyle w:val="10"/>
        <w:bidi w:val="0"/>
        <w:ind w:left="4" w:leftChars="0" w:hanging="4"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标志、包装、运输、贮存</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标识</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销售包装标识</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销售包装产品标签应符合GB 7718的规定。在销售包装上使用中华人民共和国地理标志产品专用标志并标注产区名称，应符合GB/T 17924规定。</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贮运包装标志</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贮运包装上的图形标志应符合GB/T 191的规定。</w:t>
      </w:r>
    </w:p>
    <w:p>
      <w:pPr>
        <w:pStyle w:val="12"/>
        <w:bidi w:val="0"/>
        <w:ind w:left="0" w:leftChars="0"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包装</w:t>
      </w:r>
    </w:p>
    <w:p>
      <w:pPr>
        <w:pStyle w:val="13"/>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内包装</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内包装材料应符合GB 4806.7的规定。</w:t>
      </w:r>
    </w:p>
    <w:p>
      <w:pPr>
        <w:pStyle w:val="13"/>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外包装</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外包装材料应干燥、清洁、无异味，符合食品卫生标准的规定。外包装必须牢固，能够满足运输和贮存的要求。</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运输</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应符合GB/T 20799规定。使用清洁、干燥、无异味，符合食品要求的冷藏车(箱)或保温车(箱)。运输时不得与有毒、有害、有污染物混装、混运。</w:t>
      </w:r>
    </w:p>
    <w:p>
      <w:pPr>
        <w:pStyle w:val="11"/>
        <w:bidi w:val="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贮存</w:t>
      </w:r>
    </w:p>
    <w:p>
      <w:pPr>
        <w:pStyle w:val="8"/>
        <w:rPr>
          <w:rFonts w:hint="eastAsia" w:asciiTheme="minorEastAsia" w:hAnsiTheme="minorEastAsia" w:eastAsiaTheme="minorEastAsia" w:cstheme="minorEastAsia"/>
          <w:kern w:val="0"/>
          <w:sz w:val="21"/>
          <w:szCs w:val="20"/>
          <w:lang w:val="en-US" w:eastAsia="zh-CN" w:bidi="ar-SA"/>
        </w:rPr>
      </w:pPr>
      <w:r>
        <w:rPr>
          <w:rFonts w:hint="eastAsia" w:asciiTheme="minorEastAsia" w:hAnsiTheme="minorEastAsia" w:eastAsiaTheme="minorEastAsia" w:cstheme="minorEastAsia"/>
          <w:kern w:val="0"/>
          <w:sz w:val="21"/>
          <w:szCs w:val="20"/>
          <w:lang w:val="en-US" w:eastAsia="zh-CN" w:bidi="ar-SA"/>
        </w:rPr>
        <w:t>应符合GB/T 9961 的相关规定。</w:t>
      </w: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1774825</wp:posOffset>
                </wp:positionH>
                <wp:positionV relativeFrom="paragraph">
                  <wp:posOffset>160020</wp:posOffset>
                </wp:positionV>
                <wp:extent cx="2444750" cy="0"/>
                <wp:effectExtent l="0" t="0" r="0" b="0"/>
                <wp:wrapNone/>
                <wp:docPr id="15" name="直接连接符 15"/>
                <wp:cNvGraphicFramePr/>
                <a:graphic xmlns:a="http://schemas.openxmlformats.org/drawingml/2006/main">
                  <a:graphicData uri="http://schemas.microsoft.com/office/word/2010/wordprocessingShape">
                    <wps:wsp>
                      <wps:cNvCnPr/>
                      <wps:spPr>
                        <a:xfrm>
                          <a:off x="2759075" y="5565775"/>
                          <a:ext cx="2444750" cy="0"/>
                        </a:xfrm>
                        <a:prstGeom prst="line">
                          <a:avLst/>
                        </a:prstGeom>
                        <a:noFill/>
                        <a:ln w="12700" cap="flat" cmpd="sng" algn="ctr">
                          <a:solidFill>
                            <a:srgbClr val="000000"/>
                          </a:solidFill>
                          <a:prstDash val="solid"/>
                        </a:ln>
                        <a:effectLst/>
                      </wps:spPr>
                      <wps:bodyPr/>
                    </wps:wsp>
                  </a:graphicData>
                </a:graphic>
              </wp:anchor>
            </w:drawing>
          </mc:Choice>
          <mc:Fallback>
            <w:pict>
              <v:line id="_x0000_s1026" o:spid="_x0000_s1026" o:spt="20" style="position:absolute;left:0pt;margin-left:139.75pt;margin-top:12.6pt;height:0pt;width:192.5pt;z-index:251676672;mso-width-relative:page;mso-height-relative:page;" filled="f" stroked="t" coordsize="21600,21600" o:gfxdata="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ZbPifYAAAACQEAAA8AAAAAAAAAAQAgAAAAIgAA&#10;AGRycy9kb3ducmV2LnhtbFBLAQIUABQAAAAIAIdO4kCMTlhqzwEAAGkDAAAOAAAAAAAAAAEAIAAA&#10;ACcBAABkcnMvZTJvRG9jLnhtbFBLBQYAAAAABgAGAFkBAABoBQAAAAA=&#10;">
                <v:fill on="f" focussize="0,0"/>
                <v:stroke weight="1pt" color="#000000" joinstyle="round"/>
                <v:imagedata o:title=""/>
                <o:lock v:ext="edit" aspectratio="f"/>
              </v:line>
            </w:pict>
          </mc:Fallback>
        </mc:AlternateContent>
      </w: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rPr>
          <w:rFonts w:hint="eastAsia" w:ascii="黑体" w:eastAsia="黑体" w:hAnsiTheme="minorHAnsi" w:cstheme="minorBidi"/>
          <w:kern w:val="0"/>
          <w:sz w:val="21"/>
          <w:szCs w:val="20"/>
          <w:lang w:val="en-US" w:eastAsia="zh-CN" w:bidi="ar-SA"/>
        </w:rPr>
      </w:pPr>
    </w:p>
    <w:p>
      <w:pPr>
        <w:pStyle w:val="8"/>
        <w:jc w:val="center"/>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附录A</w:t>
      </w:r>
    </w:p>
    <w:p>
      <w:pPr>
        <w:pStyle w:val="8"/>
        <w:jc w:val="center"/>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(规范性附录)</w:t>
      </w:r>
    </w:p>
    <w:p>
      <w:pPr>
        <w:pStyle w:val="8"/>
        <w:jc w:val="center"/>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地理标志农产品 哈密羊肉保护范围示意图</w:t>
      </w:r>
    </w:p>
    <w:p>
      <w:pPr>
        <w:pStyle w:val="10"/>
        <w:numPr>
          <w:ilvl w:val="0"/>
          <w:numId w:val="0"/>
        </w:numPr>
        <w:bidi w:val="0"/>
        <w:ind w:left="284" w:leftChars="0"/>
        <w:rPr>
          <w:rFonts w:hint="eastAsia"/>
          <w:lang w:val="en-US" w:eastAsia="zh-CN"/>
        </w:rPr>
      </w:pPr>
      <w:r>
        <w:rPr>
          <w:rFonts w:hint="eastAsia"/>
          <w:lang w:val="en-US" w:eastAsia="zh-CN"/>
        </w:rPr>
        <w:t>A．1 地理标志农产品 哈密羊肉保护范围</w:t>
      </w:r>
    </w:p>
    <w:p>
      <w:pPr>
        <w:pStyle w:val="8"/>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t>新疆哈密伊州区沁城乡、天山乡、西山乡、德外里杜如克哈萨克民族乡、柳树沟乡、白石头乡、乌拉台哈萨克民族乡，巴里坤哈萨克自治县下涝坝乡、大红柳峡乡、三塘湖乡、八墙子乡、黄土场开发区、萨尔乔克乡、海子沿乡、花园乡、大河镇、奎苏镇、石人子乡，伊吾县前山乡、盐池镇、吐葫芦乡、苇子峡乡、下马崖乡等23乡镇所辖的86个行政村。</w:t>
      </w:r>
    </w:p>
    <w:p>
      <w:pPr>
        <w:pStyle w:val="10"/>
        <w:numPr>
          <w:ilvl w:val="0"/>
          <w:numId w:val="0"/>
        </w:numPr>
        <w:bidi w:val="0"/>
        <w:ind w:left="284" w:leftChars="0" w:firstLine="210" w:firstLineChars="100"/>
        <w:rPr>
          <w:rFonts w:hint="eastAsia"/>
          <w:lang w:val="en-US" w:eastAsia="zh-CN"/>
        </w:rPr>
      </w:pPr>
      <w:r>
        <w:rPr>
          <w:rFonts w:hint="eastAsia"/>
          <w:lang w:val="en-US" w:eastAsia="zh-CN"/>
        </w:rPr>
        <w:t>A．2 哈密羊肉农产品地理标志生产地域分布图</w:t>
      </w:r>
    </w:p>
    <w:p>
      <w:pPr>
        <w:pStyle w:val="8"/>
        <w:ind w:firstLine="0" w:firstLineChars="0"/>
        <w:rPr>
          <w:rFonts w:hint="eastAsia" w:ascii="黑体" w:eastAsia="黑体" w:hAnsiTheme="minorHAnsi" w:cstheme="minorBidi"/>
          <w:kern w:val="0"/>
          <w:sz w:val="21"/>
          <w:szCs w:val="20"/>
          <w:lang w:val="en-US" w:eastAsia="zh-CN" w:bidi="ar-SA"/>
        </w:rPr>
      </w:pPr>
      <w:r>
        <w:rPr>
          <w:rFonts w:hint="eastAsia" w:ascii="黑体" w:eastAsia="黑体" w:hAnsiTheme="minorHAnsi" w:cstheme="minorBidi"/>
          <w:kern w:val="0"/>
          <w:sz w:val="21"/>
          <w:szCs w:val="20"/>
          <w:lang w:val="en-US" w:eastAsia="zh-CN" w:bidi="ar-SA"/>
        </w:rPr>
        <w:drawing>
          <wp:inline distT="0" distB="0" distL="114300" distR="114300">
            <wp:extent cx="5304155" cy="6091555"/>
            <wp:effectExtent l="0" t="0" r="10795" b="4445"/>
            <wp:docPr id="1" name="图片 1" descr="哈密羊肉地理标志产品地域彩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哈密羊肉地理标志产品地域彩图"/>
                    <pic:cNvPicPr>
                      <a:picLocks noChangeAspect="1"/>
                    </pic:cNvPicPr>
                  </pic:nvPicPr>
                  <pic:blipFill>
                    <a:blip r:embed="rId12"/>
                    <a:stretch>
                      <a:fillRect/>
                    </a:stretch>
                  </pic:blipFill>
                  <pic:spPr>
                    <a:xfrm>
                      <a:off x="0" y="0"/>
                      <a:ext cx="5304155" cy="6091555"/>
                    </a:xfrm>
                    <a:prstGeom prst="rect">
                      <a:avLst/>
                    </a:prstGeom>
                    <a:noFill/>
                    <a:ln>
                      <a:noFill/>
                    </a:ln>
                  </pic:spPr>
                </pic:pic>
              </a:graphicData>
            </a:graphic>
          </wp:inline>
        </w:drawing>
      </w:r>
    </w:p>
    <w:sectPr>
      <w:headerReference r:id="rId8" w:type="default"/>
      <w:footerReference r:id="rId9" w:type="default"/>
      <w:footerReference r:id="rId10"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Style w:val="6"/>
      </w:rP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5"/>
                          </w:pPr>
                          <w:r>
                            <w:rPr>
                              <w:rStyle w:val="6"/>
                            </w:rPr>
                            <w:fldChar w:fldCharType="begin"/>
                          </w:r>
                          <w:r>
                            <w:rPr>
                              <w:rStyle w:val="6"/>
                            </w:rPr>
                            <w:instrText xml:space="preserve">PAGE  </w:instrText>
                          </w:r>
                          <w:r>
                            <w:rPr>
                              <w:rStyle w:val="6"/>
                            </w:rPr>
                            <w:fldChar w:fldCharType="separate"/>
                          </w:r>
                          <w:r>
                            <w:rPr>
                              <w:rStyle w:val="6"/>
                            </w:rPr>
                            <w:t>2</w:t>
                          </w:r>
                          <w:r>
                            <w:rPr>
                              <w:rStyle w:val="6"/>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15"/>
                    </w:pPr>
                    <w:r>
                      <w:rPr>
                        <w:rStyle w:val="6"/>
                      </w:rPr>
                      <w:fldChar w:fldCharType="begin"/>
                    </w:r>
                    <w:r>
                      <w:rPr>
                        <w:rStyle w:val="6"/>
                      </w:rPr>
                      <w:instrText xml:space="preserve">PAGE  </w:instrText>
                    </w:r>
                    <w:r>
                      <w:rPr>
                        <w:rStyle w:val="6"/>
                      </w:rPr>
                      <w:fldChar w:fldCharType="separate"/>
                    </w:r>
                    <w:r>
                      <w:rPr>
                        <w:rStyle w:val="6"/>
                      </w:rPr>
                      <w:t>2</w:t>
                    </w:r>
                    <w:r>
                      <w:rPr>
                        <w:rStyle w:val="6"/>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Style w:val="6"/>
      </w:rPr>
    </w:pPr>
    <w:r>
      <w:rPr>
        <w:sz w:val="18"/>
      </w:rP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6"/>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qKiq4BAABLAwAADgAAAGRycy9lMm9Eb2MueG1srVPNThsxEL5X4h0s&#10;34mXI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RqoqKrgEAAEsD&#10;AAAOAAAAAAAAAAEAIAAAAB4BAABkcnMvZTJvRG9jLnhtbFBLBQYAAAAABgAGAFkBAAA+BQAAAAA=&#10;">
              <v:fill on="f" focussize="0,0"/>
              <v:stroke on="f"/>
              <v:imagedata o:title=""/>
              <o:lock v:ext="edit" aspectratio="f"/>
              <v:textbox inset="0mm,0mm,0mm,0mm" style="mso-fit-shape-to-text:t;">
                <w:txbxContent>
                  <w:p>
                    <w:pPr>
                      <w:pStyle w:val="26"/>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fldChar w:fldCharType="begin"/>
    </w:r>
    <w:r>
      <w:instrText xml:space="preserve"> PAGE  \* MERGEFORMAT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Style w:val="6"/>
      </w:rPr>
    </w:pPr>
    <w:r>
      <w:rPr>
        <w:sz w:val="18"/>
      </w:rPr>
      <mc:AlternateContent>
        <mc:Choice Requires="wps">
          <w:drawing>
            <wp:anchor distT="0" distB="0" distL="114300" distR="114300" simplePos="0" relativeHeight="2517002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6"/>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002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v:fill on="f" focussize="0,0"/>
              <v:stroke on="f"/>
              <v:imagedata o:title=""/>
              <o:lock v:ext="edit" aspectratio="f"/>
              <v:textbox inset="0mm,0mm,0mm,0mm" style="mso-fit-shape-to-text:t;">
                <w:txbxContent>
                  <w:p>
                    <w:pPr>
                      <w:pStyle w:val="26"/>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bidi w:val="0"/>
      <w:jc w:val="right"/>
      <w:rPr>
        <w:rFonts w:hint="default"/>
        <w:lang w:val="en-US" w:eastAsia="zh-CN"/>
      </w:rPr>
    </w:pPr>
    <w:r>
      <w:rPr>
        <w:rFonts w:hint="eastAsia"/>
      </w:rPr>
      <w:t>DB65</w:t>
    </w:r>
    <w:r>
      <w:rPr>
        <w:rFonts w:hint="eastAsia"/>
        <w:lang w:val="en-US" w:eastAsia="zh-CN"/>
      </w:rPr>
      <w:t>05</w:t>
    </w:r>
    <w:r>
      <w:t>/</w:t>
    </w:r>
    <w:r>
      <w:rPr>
        <w:rFonts w:hint="eastAsia"/>
      </w:rPr>
      <w:t>T 08</w:t>
    </w:r>
    <w:r>
      <w:rPr>
        <w:rFonts w:hint="eastAsia"/>
        <w:lang w:val="en-US" w:eastAsia="zh-CN"/>
      </w:rPr>
      <w:t>5</w:t>
    </w:r>
    <w:r>
      <w:t>-20</w:t>
    </w:r>
    <w:r>
      <w:rPr>
        <w:rFonts w:hint="eastAsia"/>
        <w:lang w:val="en-US" w:eastAsia="zh-CN"/>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0"/>
      </w:pBdr>
      <w:bidi w:val="0"/>
      <w:rPr>
        <w:rFonts w:hint="default"/>
        <w:lang w:val="en-US" w:eastAsia="zh-CN"/>
      </w:rPr>
    </w:pPr>
    <w:r>
      <w:rPr>
        <w:rFonts w:hint="eastAsia"/>
      </w:rPr>
      <w:t>DB65</w:t>
    </w:r>
    <w:r>
      <w:rPr>
        <w:rFonts w:hint="eastAsia"/>
        <w:lang w:val="en-US" w:eastAsia="zh-CN"/>
      </w:rPr>
      <w:t>05</w:t>
    </w:r>
    <w:r>
      <w:t>/</w:t>
    </w:r>
    <w:r>
      <w:rPr>
        <w:rFonts w:hint="eastAsia"/>
      </w:rPr>
      <w:t>T 0</w:t>
    </w:r>
    <w:r>
      <w:rPr>
        <w:rFonts w:hint="eastAsia"/>
        <w:lang w:val="en-US" w:eastAsia="zh-CN"/>
      </w:rPr>
      <w:t>99</w:t>
    </w:r>
    <w:r>
      <w:t>-</w:t>
    </w:r>
    <w:r>
      <w:rPr>
        <w:rFonts w:hint="eastAsia"/>
        <w:lang w:val="en-US" w:eastAsia="zh-CN"/>
      </w:rPr>
      <w:t>2021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0"/>
      </w:pBd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rPr>
        <w:rFonts w:hint="default" w:eastAsia="黑体"/>
        <w:lang w:val="en-US" w:eastAsia="zh-CN"/>
      </w:rPr>
    </w:pPr>
    <w:r>
      <w:t>DB</w:t>
    </w:r>
    <w:r>
      <w:rPr>
        <w:rFonts w:hint="eastAsia"/>
        <w:lang w:val="en-US" w:eastAsia="zh-CN"/>
      </w:rPr>
      <w:t>6505</w:t>
    </w:r>
    <w:r>
      <w:t>/</w:t>
    </w:r>
    <w:r>
      <w:rPr>
        <w:rFonts w:hint="eastAsia"/>
        <w:lang w:val="en-US" w:eastAsia="zh-CN"/>
      </w:rPr>
      <w:t>T</w:t>
    </w:r>
    <w:r>
      <w:t xml:space="preserve"> </w:t>
    </w:r>
    <w:r>
      <w:rPr>
        <w:rFonts w:hint="eastAsia"/>
        <w:lang w:val="en-US" w:eastAsia="zh-CN"/>
      </w:rPr>
      <w:t>099</w:t>
    </w:r>
    <w:r>
      <w:t>—</w:t>
    </w:r>
    <w:r>
      <w:rPr>
        <w:rFonts w:hint="eastAsia"/>
        <w:lang w:val="en-US" w:eastAsia="zh-CN"/>
      </w:rPr>
      <w:t>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91163"/>
    <w:multiLevelType w:val="multilevel"/>
    <w:tmpl w:val="1FC91163"/>
    <w:lvl w:ilvl="0" w:tentative="0">
      <w:start w:val="1"/>
      <w:numFmt w:val="decimal"/>
      <w:pStyle w:val="10"/>
      <w:suff w:val="nothing"/>
      <w:lvlText w:val="%1　"/>
      <w:lvlJc w:val="left"/>
      <w:pPr>
        <w:ind w:left="284" w:firstLine="0"/>
      </w:pPr>
      <w:rPr>
        <w:rFonts w:hint="eastAsia" w:ascii="黑体" w:hAnsi="Times New Roman" w:eastAsia="黑体"/>
        <w:b w:val="0"/>
        <w:i w:val="0"/>
        <w:sz w:val="21"/>
        <w:szCs w:val="21"/>
      </w:rPr>
    </w:lvl>
    <w:lvl w:ilvl="1" w:tentative="0">
      <w:start w:val="1"/>
      <w:numFmt w:val="decimal"/>
      <w:pStyle w:val="11"/>
      <w:suff w:val="nothing"/>
      <w:lvlText w:val="%1.%2　"/>
      <w:lvlJc w:val="left"/>
      <w:pPr>
        <w:ind w:left="142"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2"/>
      <w:suff w:val="nothing"/>
      <w:lvlText w:val="%1.%2.%3　"/>
      <w:lvlJc w:val="left"/>
      <w:pPr>
        <w:ind w:left="851" w:firstLine="0"/>
      </w:pPr>
      <w:rPr>
        <w:rFonts w:hint="eastAsia" w:ascii="黑体" w:hAnsi="Times New Roman" w:eastAsia="黑体"/>
        <w:b w:val="0"/>
        <w:i w:val="0"/>
        <w:sz w:val="21"/>
      </w:rPr>
    </w:lvl>
    <w:lvl w:ilvl="3" w:tentative="0">
      <w:start w:val="1"/>
      <w:numFmt w:val="decimal"/>
      <w:pStyle w:val="13"/>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657D3FBC"/>
    <w:multiLevelType w:val="multilevel"/>
    <w:tmpl w:val="657D3FBC"/>
    <w:lvl w:ilvl="0" w:tentative="0">
      <w:start w:val="1"/>
      <w:numFmt w:val="upperLetter"/>
      <w:pStyle w:val="27"/>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F759F5"/>
    <w:rsid w:val="31F759F5"/>
    <w:rsid w:val="665D4F6A"/>
    <w:rsid w:val="68614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rPr>
      <w:rFonts w:ascii="Times New Roman" w:hAnsi="Times New Roman" w:eastAsia="宋体"/>
      <w:sz w:val="18"/>
    </w:rPr>
  </w:style>
  <w:style w:type="paragraph" w:customStyle="1" w:styleId="7">
    <w:name w:val="前言、引言标题"/>
    <w:next w:val="8"/>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9">
    <w:name w:val="目次、标准名称标题"/>
    <w:basedOn w:val="1"/>
    <w:next w:val="8"/>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10">
    <w:name w:val="章标题"/>
    <w:next w:val="8"/>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1">
    <w:name w:val="一级条标题"/>
    <w:next w:val="8"/>
    <w:qFormat/>
    <w:uiPriority w:val="0"/>
    <w:pPr>
      <w:numPr>
        <w:ilvl w:val="1"/>
        <w:numId w:val="1"/>
      </w:numPr>
      <w:spacing w:before="156" w:beforeLines="50" w:after="156" w:afterLines="50"/>
      <w:ind w:left="0"/>
      <w:outlineLvl w:val="2"/>
    </w:pPr>
    <w:rPr>
      <w:rFonts w:ascii="黑体" w:hAnsi="Times New Roman" w:eastAsia="黑体" w:cs="Times New Roman"/>
      <w:sz w:val="21"/>
      <w:szCs w:val="21"/>
      <w:lang w:val="en-US" w:eastAsia="zh-CN" w:bidi="ar-SA"/>
    </w:rPr>
  </w:style>
  <w:style w:type="paragraph" w:customStyle="1" w:styleId="12">
    <w:name w:val="二级条标题"/>
    <w:basedOn w:val="11"/>
    <w:next w:val="8"/>
    <w:uiPriority w:val="0"/>
    <w:pPr>
      <w:numPr>
        <w:ilvl w:val="2"/>
        <w:numId w:val="1"/>
      </w:numPr>
      <w:spacing w:before="50" w:after="50"/>
      <w:outlineLvl w:val="3"/>
    </w:pPr>
  </w:style>
  <w:style w:type="paragraph" w:customStyle="1" w:styleId="13">
    <w:name w:val="三级条标题"/>
    <w:basedOn w:val="12"/>
    <w:next w:val="8"/>
    <w:uiPriority w:val="0"/>
    <w:pPr>
      <w:widowControl w:val="0"/>
      <w:numPr>
        <w:ilvl w:val="3"/>
        <w:numId w:val="1"/>
      </w:numPr>
      <w:spacing w:line="240" w:lineRule="auto"/>
      <w:outlineLvl w:val="4"/>
    </w:pPr>
    <w:rPr>
      <w:rFonts w:hAnsi="黑体"/>
    </w:rPr>
  </w:style>
  <w:style w:type="paragraph" w:customStyle="1" w:styleId="14">
    <w:name w:val="标准书眉_奇数页"/>
    <w:next w:val="1"/>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15">
    <w:name w:val="标准书脚_奇数页"/>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16">
    <w:name w:val="封面正文"/>
    <w:qFormat/>
    <w:uiPriority w:val="0"/>
    <w:pPr>
      <w:jc w:val="both"/>
    </w:pPr>
    <w:rPr>
      <w:rFonts w:ascii="Times New Roman" w:hAnsi="Times New Roman" w:eastAsia="宋体" w:cs="Times New Roman"/>
      <w:lang w:val="en-US" w:eastAsia="zh-CN" w:bidi="ar-SA"/>
    </w:rPr>
  </w:style>
  <w:style w:type="paragraph" w:customStyle="1" w:styleId="17">
    <w:name w:val="发布部门"/>
    <w:next w:val="8"/>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character" w:customStyle="1" w:styleId="18">
    <w:name w:val="发布"/>
    <w:basedOn w:val="5"/>
    <w:qFormat/>
    <w:uiPriority w:val="0"/>
    <w:rPr>
      <w:rFonts w:ascii="黑体" w:eastAsia="黑体"/>
      <w:spacing w:val="85"/>
      <w:w w:val="100"/>
      <w:position w:val="3"/>
      <w:sz w:val="28"/>
      <w:szCs w:val="28"/>
    </w:rPr>
  </w:style>
  <w:style w:type="paragraph" w:customStyle="1" w:styleId="19">
    <w:name w:val="实施日期"/>
    <w:basedOn w:val="20"/>
    <w:qFormat/>
    <w:uiPriority w:val="0"/>
    <w:pPr>
      <w:framePr w:vAnchor="page" w:hAnchor="text"/>
      <w:jc w:val="right"/>
    </w:pPr>
  </w:style>
  <w:style w:type="paragraph" w:customStyle="1" w:styleId="20">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21">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2">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3">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24">
    <w:name w:val="标准书眉一"/>
    <w:basedOn w:val="14"/>
    <w:next w:val="3"/>
    <w:qFormat/>
    <w:uiPriority w:val="0"/>
    <w:pPr>
      <w:jc w:val="both"/>
    </w:pPr>
    <w:rPr>
      <w:rFonts w:ascii="Times New Roman" w:eastAsia="黑体"/>
    </w:rPr>
  </w:style>
  <w:style w:type="paragraph" w:customStyle="1" w:styleId="25">
    <w:name w:val="标准书眉_偶数页"/>
    <w:basedOn w:val="14"/>
    <w:next w:val="1"/>
    <w:qFormat/>
    <w:uiPriority w:val="0"/>
    <w:pPr>
      <w:jc w:val="left"/>
    </w:pPr>
    <w:rPr>
      <w:rFonts w:hint="eastAsia" w:ascii="黑体" w:hAnsi="黑体"/>
    </w:rPr>
  </w:style>
  <w:style w:type="paragraph" w:customStyle="1" w:styleId="26">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27">
    <w:name w:val="附录标识"/>
    <w:basedOn w:val="1"/>
    <w:next w:val="8"/>
    <w:qFormat/>
    <w:uiPriority w:val="0"/>
    <w:pPr>
      <w:keepNext/>
      <w:widowControl/>
      <w:numPr>
        <w:ilvl w:val="0"/>
        <w:numId w:val="2"/>
      </w:numPr>
      <w:shd w:val="clear" w:color="FFFFFF" w:fill="FFFFFF"/>
      <w:spacing w:before="640" w:after="280"/>
      <w:jc w:val="center"/>
      <w:outlineLvl w:val="0"/>
    </w:pPr>
    <w:rPr>
      <w:rFonts w:ascii="黑体" w:eastAsia="黑体"/>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151</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2021-03-23T09:45:00Z</dcterms:created>
  <dc:creator>Administrator</dc:creator>
  <cp:lastModifiedBy>Administrator</cp:lastModifiedBy>
  <cp:lastPrinted>2021-03-24T03:47:09Z</cp:lastPrinted>
  <dcterms:modified xsi:type="dcterms:W3CDTF">2021-03-24T05:44:17Z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